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DE865" w14:textId="15664A91" w:rsidR="00E91A73" w:rsidRDefault="00E91A73" w:rsidP="00E91A73">
      <w:pPr>
        <w:pStyle w:val="3GPPHeader"/>
        <w:rPr>
          <w:lang w:val="en-US"/>
        </w:rPr>
      </w:pPr>
      <w:r>
        <w:rPr>
          <w:lang w:val="en-US"/>
        </w:rPr>
        <w:t>3GPP TSG-RAN WG4 Meeting #116-bis</w:t>
      </w:r>
      <w:r>
        <w:rPr>
          <w:lang w:val="en-US"/>
        </w:rPr>
        <w:tab/>
        <w:t>R4-</w:t>
      </w:r>
      <w:r w:rsidR="00D61BDF" w:rsidRPr="00D61BDF">
        <w:rPr>
          <w:lang w:val="en-US"/>
        </w:rPr>
        <w:t>2514402</w:t>
      </w:r>
    </w:p>
    <w:p w14:paraId="7F394FFE" w14:textId="77777777" w:rsidR="00E91A73" w:rsidRDefault="00E91A73" w:rsidP="00E91A73">
      <w:pPr>
        <w:pStyle w:val="3GPPHeader"/>
        <w:rPr>
          <w:lang w:val="en-US"/>
        </w:rPr>
      </w:pPr>
      <w:r>
        <w:rPr>
          <w:lang w:val="en-US"/>
        </w:rPr>
        <w:t>Prague, CZ, October 13 – 17, 2025</w:t>
      </w:r>
    </w:p>
    <w:p w14:paraId="6AB24848" w14:textId="77777777" w:rsidR="00E91A73" w:rsidRDefault="00936966" w:rsidP="00F354F0">
      <w:pPr>
        <w:pStyle w:val="3GPPHeader"/>
      </w:pPr>
      <w:r>
        <w:t>Agenda Item:</w:t>
      </w:r>
      <w:r>
        <w:tab/>
      </w:r>
      <w:r w:rsidR="00E91A73" w:rsidRPr="00E91A73">
        <w:t>6.10.2.1</w:t>
      </w:r>
    </w:p>
    <w:p w14:paraId="7E06CF5F" w14:textId="32510ED1" w:rsidR="00F354F0" w:rsidRPr="001A5974" w:rsidRDefault="00F354F0" w:rsidP="00F354F0">
      <w:pPr>
        <w:pStyle w:val="3GPPHeader"/>
      </w:pPr>
      <w:r w:rsidRPr="001A5974">
        <w:t>Source:</w:t>
      </w:r>
      <w:r w:rsidRPr="001A5974">
        <w:tab/>
      </w:r>
      <w:r w:rsidRPr="00837AD9">
        <w:t>MediaTek Inc.</w:t>
      </w:r>
    </w:p>
    <w:p w14:paraId="3A8FC3FA" w14:textId="63980348" w:rsidR="008A22CF" w:rsidRPr="001A5974" w:rsidRDefault="008A22CF" w:rsidP="0014682B">
      <w:pPr>
        <w:pStyle w:val="3GPPHeader"/>
        <w:ind w:left="284" w:hanging="284"/>
      </w:pPr>
      <w:r w:rsidRPr="001A5974">
        <w:t>Title:</w:t>
      </w:r>
      <w:r w:rsidRPr="001A5974">
        <w:tab/>
      </w:r>
      <w:r w:rsidR="00E91A73" w:rsidRPr="00E91A73">
        <w:t>Discussion on perf part for FR2-1 SSB based L3 measurement delay reduction by optimizing BSF</w:t>
      </w:r>
      <w:r w:rsidR="00E91A73">
        <w:t xml:space="preserve"> </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5B2E4821" w14:textId="5DCB2BF7" w:rsidR="00A54369" w:rsidRDefault="009E45B0" w:rsidP="006D75DD">
      <w:pPr>
        <w:jc w:val="both"/>
        <w:rPr>
          <w:lang w:val="en-US"/>
        </w:rPr>
      </w:pPr>
      <w:bookmarkStart w:id="0" w:name="_Hlk127303950"/>
      <w:r>
        <w:rPr>
          <w:lang w:val="en-US"/>
        </w:rPr>
        <w:t>In this paper we discuss the performance part for R19 RRM phase 5 WI, specifically for Rx beam sweeping factor optimization</w:t>
      </w:r>
      <w:r w:rsidR="00375345" w:rsidRPr="00375345">
        <w:t xml:space="preserve"> </w:t>
      </w:r>
      <w:r w:rsidR="00375345" w:rsidRPr="00375345">
        <w:rPr>
          <w:lang w:val="en-US"/>
        </w:rPr>
        <w:t>for L3 measurement delay reduction</w:t>
      </w:r>
      <w:r>
        <w:rPr>
          <w:lang w:val="en-US"/>
        </w:rPr>
        <w:t xml:space="preserve">. The progress in the last meeting of RAN4 is captured in the WF </w:t>
      </w:r>
      <w:r>
        <w:rPr>
          <w:lang w:val="en-US"/>
        </w:rPr>
        <w:fldChar w:fldCharType="begin"/>
      </w:r>
      <w:r>
        <w:rPr>
          <w:lang w:val="en-US"/>
        </w:rPr>
        <w:instrText xml:space="preserve"> REF _Ref210297714 \r \h </w:instrText>
      </w:r>
      <w:r>
        <w:rPr>
          <w:lang w:val="en-US"/>
        </w:rPr>
      </w:r>
      <w:r>
        <w:rPr>
          <w:lang w:val="en-US"/>
        </w:rPr>
        <w:fldChar w:fldCharType="separate"/>
      </w:r>
      <w:r>
        <w:rPr>
          <w:lang w:val="en-US"/>
        </w:rPr>
        <w:t>[1]</w:t>
      </w:r>
      <w:r>
        <w:rPr>
          <w:lang w:val="en-US"/>
        </w:rPr>
        <w:fldChar w:fldCharType="end"/>
      </w:r>
      <w:r>
        <w:rPr>
          <w:lang w:val="en-US"/>
        </w:rPr>
        <w:t>.</w:t>
      </w: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50CCC30" w14:textId="5E83E15A" w:rsidR="00790115" w:rsidRDefault="009E45B0" w:rsidP="004C65ED">
      <w:pPr>
        <w:jc w:val="both"/>
        <w:rPr>
          <w:lang w:val="en-US"/>
        </w:rPr>
      </w:pPr>
      <w:r>
        <w:rPr>
          <w:lang w:val="en-US"/>
        </w:rPr>
        <w:t>RAN4 previously agreed on the TC list to be defined for BSF optimization as shown below:</w:t>
      </w:r>
    </w:p>
    <w:tbl>
      <w:tblPr>
        <w:tblStyle w:val="TableGrid"/>
        <w:tblW w:w="0" w:type="auto"/>
        <w:tblLook w:val="04A0" w:firstRow="1" w:lastRow="0" w:firstColumn="1" w:lastColumn="0" w:noHBand="0" w:noVBand="1"/>
      </w:tblPr>
      <w:tblGrid>
        <w:gridCol w:w="9629"/>
      </w:tblGrid>
      <w:tr w:rsidR="009E45B0" w14:paraId="2421A9E9" w14:textId="77777777" w:rsidTr="009E45B0">
        <w:tc>
          <w:tcPr>
            <w:tcW w:w="9629" w:type="dxa"/>
          </w:tcPr>
          <w:p w14:paraId="67634200" w14:textId="15B43620" w:rsidR="009E45B0" w:rsidRDefault="009E45B0" w:rsidP="004C65ED">
            <w:pPr>
              <w:jc w:val="both"/>
            </w:pPr>
            <w:r>
              <w:t>RAN4#115 agreement:</w:t>
            </w:r>
          </w:p>
          <w:tbl>
            <w:tblPr>
              <w:tblStyle w:val="TableGrid"/>
              <w:tblW w:w="0" w:type="auto"/>
              <w:jc w:val="center"/>
              <w:tblLook w:val="04A0" w:firstRow="1" w:lastRow="0" w:firstColumn="1" w:lastColumn="0" w:noHBand="0" w:noVBand="1"/>
            </w:tblPr>
            <w:tblGrid>
              <w:gridCol w:w="687"/>
              <w:gridCol w:w="3139"/>
              <w:gridCol w:w="932"/>
              <w:gridCol w:w="2629"/>
              <w:gridCol w:w="2016"/>
            </w:tblGrid>
            <w:tr w:rsidR="009E45B0" w14:paraId="5BD18CD4" w14:textId="77777777" w:rsidTr="009E45B0">
              <w:trPr>
                <w:trHeight w:val="246"/>
                <w:jc w:val="center"/>
              </w:trPr>
              <w:tc>
                <w:tcPr>
                  <w:tcW w:w="689" w:type="dxa"/>
                  <w:tcBorders>
                    <w:top w:val="single" w:sz="4" w:space="0" w:color="auto"/>
                    <w:left w:val="single" w:sz="4" w:space="0" w:color="auto"/>
                    <w:bottom w:val="single" w:sz="4" w:space="0" w:color="auto"/>
                    <w:right w:val="single" w:sz="4" w:space="0" w:color="auto"/>
                  </w:tcBorders>
                  <w:hideMark/>
                </w:tcPr>
                <w:p w14:paraId="23C59B33" w14:textId="77777777" w:rsidR="009E45B0" w:rsidRDefault="009E45B0" w:rsidP="009E45B0">
                  <w:pPr>
                    <w:snapToGrid w:val="0"/>
                    <w:spacing w:after="0"/>
                    <w:textAlignment w:val="baseline"/>
                    <w:rPr>
                      <w:rFonts w:ascii="Times New Roman" w:eastAsia="Times New Roman" w:hAnsi="Times New Roman" w:cs="Times New Roman"/>
                      <w:bCs/>
                      <w:kern w:val="0"/>
                      <w:sz w:val="20"/>
                      <w:szCs w:val="20"/>
                      <w14:ligatures w14:val="none"/>
                    </w:rPr>
                  </w:pPr>
                  <w:r>
                    <w:rPr>
                      <w:bCs/>
                      <w:sz w:val="20"/>
                      <w:szCs w:val="20"/>
                    </w:rPr>
                    <w:t>Index</w:t>
                  </w:r>
                </w:p>
              </w:tc>
              <w:tc>
                <w:tcPr>
                  <w:tcW w:w="3217" w:type="dxa"/>
                  <w:tcBorders>
                    <w:top w:val="single" w:sz="4" w:space="0" w:color="auto"/>
                    <w:left w:val="single" w:sz="4" w:space="0" w:color="auto"/>
                    <w:bottom w:val="single" w:sz="4" w:space="0" w:color="auto"/>
                    <w:right w:val="single" w:sz="4" w:space="0" w:color="auto"/>
                  </w:tcBorders>
                  <w:hideMark/>
                </w:tcPr>
                <w:p w14:paraId="6EDFBC35" w14:textId="77777777" w:rsidR="009E45B0" w:rsidRDefault="009E45B0" w:rsidP="009E45B0">
                  <w:pPr>
                    <w:snapToGrid w:val="0"/>
                    <w:spacing w:after="0"/>
                    <w:textAlignment w:val="baseline"/>
                    <w:rPr>
                      <w:bCs/>
                      <w:sz w:val="20"/>
                      <w:szCs w:val="20"/>
                    </w:rPr>
                  </w:pPr>
                  <w:r>
                    <w:rPr>
                      <w:bCs/>
                      <w:sz w:val="20"/>
                      <w:szCs w:val="20"/>
                    </w:rPr>
                    <w:t>Scenario</w:t>
                  </w:r>
                </w:p>
              </w:tc>
              <w:tc>
                <w:tcPr>
                  <w:tcW w:w="935" w:type="dxa"/>
                  <w:tcBorders>
                    <w:top w:val="single" w:sz="4" w:space="0" w:color="auto"/>
                    <w:left w:val="single" w:sz="4" w:space="0" w:color="auto"/>
                    <w:bottom w:val="single" w:sz="4" w:space="0" w:color="auto"/>
                    <w:right w:val="single" w:sz="4" w:space="0" w:color="auto"/>
                  </w:tcBorders>
                  <w:hideMark/>
                </w:tcPr>
                <w:p w14:paraId="18441E70" w14:textId="77777777" w:rsidR="009E45B0" w:rsidRDefault="009E45B0" w:rsidP="009E45B0">
                  <w:pPr>
                    <w:snapToGrid w:val="0"/>
                    <w:spacing w:after="0"/>
                    <w:textAlignment w:val="baseline"/>
                    <w:rPr>
                      <w:bCs/>
                      <w:sz w:val="20"/>
                      <w:szCs w:val="20"/>
                      <w:lang w:eastAsia="ko-KR"/>
                    </w:rPr>
                  </w:pPr>
                  <w:r>
                    <w:rPr>
                      <w:bCs/>
                      <w:sz w:val="20"/>
                      <w:szCs w:val="20"/>
                      <w:lang w:eastAsia="ko-KR"/>
                    </w:rPr>
                    <w:t>Number of TC</w:t>
                  </w:r>
                </w:p>
              </w:tc>
              <w:tc>
                <w:tcPr>
                  <w:tcW w:w="2702" w:type="dxa"/>
                  <w:tcBorders>
                    <w:top w:val="single" w:sz="4" w:space="0" w:color="auto"/>
                    <w:left w:val="single" w:sz="4" w:space="0" w:color="auto"/>
                    <w:bottom w:val="single" w:sz="4" w:space="0" w:color="auto"/>
                    <w:right w:val="single" w:sz="4" w:space="0" w:color="auto"/>
                  </w:tcBorders>
                  <w:hideMark/>
                </w:tcPr>
                <w:p w14:paraId="085078CC" w14:textId="77777777" w:rsidR="009E45B0" w:rsidRDefault="009E45B0" w:rsidP="009E45B0">
                  <w:pPr>
                    <w:snapToGrid w:val="0"/>
                    <w:spacing w:after="0"/>
                    <w:textAlignment w:val="baseline"/>
                    <w:rPr>
                      <w:bCs/>
                      <w:sz w:val="20"/>
                      <w:szCs w:val="20"/>
                    </w:rPr>
                  </w:pPr>
                  <w:r>
                    <w:rPr>
                      <w:bCs/>
                      <w:sz w:val="20"/>
                      <w:szCs w:val="20"/>
                      <w:lang w:eastAsia="ko-KR"/>
                    </w:rPr>
                    <w:t>Configurations</w:t>
                  </w:r>
                  <w:r>
                    <w:rPr>
                      <w:bCs/>
                      <w:sz w:val="20"/>
                      <w:szCs w:val="20"/>
                    </w:rPr>
                    <w:t xml:space="preserve"> and scopes</w:t>
                  </w:r>
                </w:p>
              </w:tc>
              <w:tc>
                <w:tcPr>
                  <w:tcW w:w="2088" w:type="dxa"/>
                  <w:tcBorders>
                    <w:top w:val="single" w:sz="4" w:space="0" w:color="auto"/>
                    <w:left w:val="single" w:sz="4" w:space="0" w:color="auto"/>
                    <w:bottom w:val="single" w:sz="4" w:space="0" w:color="auto"/>
                    <w:right w:val="single" w:sz="4" w:space="0" w:color="auto"/>
                  </w:tcBorders>
                  <w:hideMark/>
                </w:tcPr>
                <w:p w14:paraId="1236CFE0" w14:textId="77777777" w:rsidR="009E45B0" w:rsidRDefault="009E45B0" w:rsidP="009E45B0">
                  <w:pPr>
                    <w:snapToGrid w:val="0"/>
                    <w:spacing w:after="0"/>
                    <w:textAlignment w:val="baseline"/>
                    <w:rPr>
                      <w:bCs/>
                      <w:sz w:val="20"/>
                      <w:szCs w:val="20"/>
                      <w:lang w:eastAsia="ko-KR"/>
                    </w:rPr>
                  </w:pPr>
                  <w:r>
                    <w:rPr>
                      <w:bCs/>
                      <w:sz w:val="20"/>
                      <w:szCs w:val="20"/>
                      <w:lang w:eastAsia="ko-KR"/>
                    </w:rPr>
                    <w:t>Company</w:t>
                  </w:r>
                </w:p>
              </w:tc>
            </w:tr>
            <w:tr w:rsidR="009E45B0" w14:paraId="7CD93FD8" w14:textId="77777777" w:rsidTr="009E45B0">
              <w:trPr>
                <w:trHeight w:val="738"/>
                <w:jc w:val="center"/>
              </w:trPr>
              <w:tc>
                <w:tcPr>
                  <w:tcW w:w="689" w:type="dxa"/>
                  <w:tcBorders>
                    <w:top w:val="single" w:sz="4" w:space="0" w:color="auto"/>
                    <w:left w:val="single" w:sz="4" w:space="0" w:color="auto"/>
                    <w:bottom w:val="single" w:sz="4" w:space="0" w:color="auto"/>
                    <w:right w:val="single" w:sz="4" w:space="0" w:color="auto"/>
                  </w:tcBorders>
                  <w:hideMark/>
                </w:tcPr>
                <w:p w14:paraId="111493A9" w14:textId="77777777" w:rsidR="009E45B0" w:rsidRDefault="009E45B0" w:rsidP="009E45B0">
                  <w:pPr>
                    <w:snapToGrid w:val="0"/>
                    <w:spacing w:after="0"/>
                    <w:textAlignment w:val="baseline"/>
                    <w:rPr>
                      <w:bCs/>
                      <w:sz w:val="20"/>
                      <w:szCs w:val="20"/>
                    </w:rPr>
                  </w:pPr>
                  <w:r>
                    <w:rPr>
                      <w:bCs/>
                      <w:sz w:val="20"/>
                      <w:szCs w:val="20"/>
                    </w:rPr>
                    <w:t>1</w:t>
                  </w:r>
                </w:p>
              </w:tc>
              <w:tc>
                <w:tcPr>
                  <w:tcW w:w="3217" w:type="dxa"/>
                  <w:tcBorders>
                    <w:top w:val="single" w:sz="4" w:space="0" w:color="auto"/>
                    <w:left w:val="single" w:sz="4" w:space="0" w:color="auto"/>
                    <w:bottom w:val="single" w:sz="4" w:space="0" w:color="auto"/>
                    <w:right w:val="single" w:sz="4" w:space="0" w:color="auto"/>
                  </w:tcBorders>
                  <w:hideMark/>
                </w:tcPr>
                <w:p w14:paraId="5D716A6C" w14:textId="77777777" w:rsidR="009E45B0" w:rsidRDefault="009E45B0" w:rsidP="009E45B0">
                  <w:pPr>
                    <w:snapToGrid w:val="0"/>
                    <w:spacing w:after="0"/>
                    <w:jc w:val="center"/>
                    <w:textAlignment w:val="baseline"/>
                    <w:rPr>
                      <w:bCs/>
                      <w:sz w:val="20"/>
                      <w:szCs w:val="20"/>
                    </w:rPr>
                  </w:pPr>
                  <w:r>
                    <w:rPr>
                      <w:bCs/>
                      <w:sz w:val="20"/>
                      <w:szCs w:val="20"/>
                    </w:rPr>
                    <w:t>Scenario 1: SSB based Intra-frequency measurement without MG, including T</w:t>
                  </w:r>
                  <w:r>
                    <w:rPr>
                      <w:bCs/>
                      <w:sz w:val="20"/>
                      <w:szCs w:val="20"/>
                      <w:vertAlign w:val="subscript"/>
                    </w:rPr>
                    <w:t>PSS/SSS_sync_intra</w:t>
                  </w:r>
                  <w:r>
                    <w:rPr>
                      <w:bCs/>
                      <w:sz w:val="20"/>
                      <w:szCs w:val="20"/>
                    </w:rPr>
                    <w:t xml:space="preserve"> and T</w:t>
                  </w:r>
                  <w:r>
                    <w:rPr>
                      <w:bCs/>
                      <w:sz w:val="20"/>
                      <w:szCs w:val="20"/>
                      <w:vertAlign w:val="subscript"/>
                    </w:rPr>
                    <w:t>SSB_measurement_period_intra</w:t>
                  </w:r>
                </w:p>
              </w:tc>
              <w:tc>
                <w:tcPr>
                  <w:tcW w:w="935" w:type="dxa"/>
                  <w:tcBorders>
                    <w:top w:val="single" w:sz="4" w:space="0" w:color="auto"/>
                    <w:left w:val="single" w:sz="4" w:space="0" w:color="auto"/>
                    <w:bottom w:val="single" w:sz="4" w:space="0" w:color="auto"/>
                    <w:right w:val="single" w:sz="4" w:space="0" w:color="auto"/>
                  </w:tcBorders>
                  <w:hideMark/>
                </w:tcPr>
                <w:p w14:paraId="630C9BA1"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vMerge w:val="restart"/>
                  <w:tcBorders>
                    <w:top w:val="single" w:sz="4" w:space="0" w:color="auto"/>
                    <w:left w:val="single" w:sz="4" w:space="0" w:color="auto"/>
                    <w:bottom w:val="single" w:sz="4" w:space="0" w:color="auto"/>
                    <w:right w:val="single" w:sz="4" w:space="0" w:color="auto"/>
                  </w:tcBorders>
                </w:tcPr>
                <w:p w14:paraId="75BB6CFD"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Non-DRX</w:t>
                  </w:r>
                </w:p>
                <w:p w14:paraId="32512FA1"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In TC1/2/3/4, UE is only required to pass TC1+TC4 or TC2+TC3. </w:t>
                  </w:r>
                </w:p>
                <w:p w14:paraId="6F9D07EE" w14:textId="77777777" w:rsidR="009E45B0" w:rsidRDefault="009E45B0" w:rsidP="009E45B0">
                  <w:pPr>
                    <w:pStyle w:val="ListParagraph"/>
                    <w:snapToGrid w:val="0"/>
                    <w:ind w:left="960" w:firstLine="400"/>
                    <w:rPr>
                      <w:bCs/>
                      <w:sz w:val="20"/>
                      <w:szCs w:val="20"/>
                      <w:lang w:eastAsia="ko-KR"/>
                    </w:rPr>
                  </w:pPr>
                </w:p>
              </w:tc>
              <w:tc>
                <w:tcPr>
                  <w:tcW w:w="2088" w:type="dxa"/>
                  <w:tcBorders>
                    <w:top w:val="single" w:sz="4" w:space="0" w:color="auto"/>
                    <w:left w:val="single" w:sz="4" w:space="0" w:color="auto"/>
                    <w:bottom w:val="single" w:sz="4" w:space="0" w:color="auto"/>
                    <w:right w:val="single" w:sz="4" w:space="0" w:color="auto"/>
                  </w:tcBorders>
                  <w:hideMark/>
                </w:tcPr>
                <w:p w14:paraId="76462A7F" w14:textId="77777777" w:rsidR="009E45B0" w:rsidRDefault="009E45B0" w:rsidP="009E45B0">
                  <w:pPr>
                    <w:snapToGrid w:val="0"/>
                    <w:spacing w:after="0"/>
                    <w:textAlignment w:val="baseline"/>
                    <w:rPr>
                      <w:bCs/>
                      <w:sz w:val="20"/>
                      <w:szCs w:val="20"/>
                      <w:lang w:eastAsia="ko-KR"/>
                    </w:rPr>
                  </w:pPr>
                  <w:r>
                    <w:rPr>
                      <w:bCs/>
                      <w:sz w:val="20"/>
                      <w:szCs w:val="20"/>
                    </w:rPr>
                    <w:t>CMCC</w:t>
                  </w:r>
                </w:p>
              </w:tc>
            </w:tr>
            <w:tr w:rsidR="009E45B0" w14:paraId="5C531665" w14:textId="77777777" w:rsidTr="009E45B0">
              <w:trPr>
                <w:trHeight w:val="984"/>
                <w:jc w:val="center"/>
              </w:trPr>
              <w:tc>
                <w:tcPr>
                  <w:tcW w:w="689" w:type="dxa"/>
                  <w:tcBorders>
                    <w:top w:val="single" w:sz="4" w:space="0" w:color="auto"/>
                    <w:left w:val="single" w:sz="4" w:space="0" w:color="auto"/>
                    <w:bottom w:val="single" w:sz="4" w:space="0" w:color="auto"/>
                    <w:right w:val="single" w:sz="4" w:space="0" w:color="auto"/>
                  </w:tcBorders>
                  <w:hideMark/>
                </w:tcPr>
                <w:p w14:paraId="35734F75" w14:textId="77777777" w:rsidR="009E45B0" w:rsidRDefault="009E45B0" w:rsidP="009E45B0">
                  <w:pPr>
                    <w:snapToGrid w:val="0"/>
                    <w:spacing w:after="0"/>
                    <w:textAlignment w:val="baseline"/>
                    <w:rPr>
                      <w:bCs/>
                      <w:sz w:val="20"/>
                      <w:szCs w:val="20"/>
                    </w:rPr>
                  </w:pPr>
                  <w:r>
                    <w:rPr>
                      <w:bCs/>
                      <w:sz w:val="20"/>
                      <w:szCs w:val="20"/>
                    </w:rPr>
                    <w:t>3</w:t>
                  </w:r>
                </w:p>
              </w:tc>
              <w:tc>
                <w:tcPr>
                  <w:tcW w:w="3217" w:type="dxa"/>
                  <w:tcBorders>
                    <w:top w:val="single" w:sz="4" w:space="0" w:color="auto"/>
                    <w:left w:val="single" w:sz="4" w:space="0" w:color="auto"/>
                    <w:bottom w:val="single" w:sz="4" w:space="0" w:color="auto"/>
                    <w:right w:val="single" w:sz="4" w:space="0" w:color="auto"/>
                  </w:tcBorders>
                  <w:hideMark/>
                </w:tcPr>
                <w:p w14:paraId="23BC1D70" w14:textId="77777777" w:rsidR="009E45B0" w:rsidRDefault="009E45B0" w:rsidP="009E45B0">
                  <w:pPr>
                    <w:snapToGrid w:val="0"/>
                    <w:spacing w:after="0"/>
                    <w:jc w:val="center"/>
                    <w:textAlignment w:val="baseline"/>
                    <w:rPr>
                      <w:bCs/>
                      <w:sz w:val="20"/>
                      <w:szCs w:val="20"/>
                    </w:rPr>
                  </w:pPr>
                  <w:r>
                    <w:rPr>
                      <w:bCs/>
                      <w:sz w:val="20"/>
                      <w:szCs w:val="20"/>
                    </w:rPr>
                    <w:t>Scenario 3: SSB based Inter-frequency measurement without MG, including T</w:t>
                  </w:r>
                  <w:r>
                    <w:rPr>
                      <w:bCs/>
                      <w:sz w:val="20"/>
                      <w:szCs w:val="20"/>
                      <w:vertAlign w:val="subscript"/>
                    </w:rPr>
                    <w:t>PSS/SSS_sync_inter</w:t>
                  </w:r>
                  <w:r>
                    <w:rPr>
                      <w:bCs/>
                      <w:sz w:val="20"/>
                      <w:szCs w:val="20"/>
                    </w:rPr>
                    <w:t>, T</w:t>
                  </w:r>
                  <w:r>
                    <w:rPr>
                      <w:bCs/>
                      <w:sz w:val="20"/>
                      <w:szCs w:val="20"/>
                      <w:vertAlign w:val="subscript"/>
                    </w:rPr>
                    <w:t>SSB_time_index_inter</w:t>
                  </w:r>
                  <w:r>
                    <w:rPr>
                      <w:bCs/>
                      <w:sz w:val="20"/>
                      <w:szCs w:val="20"/>
                    </w:rPr>
                    <w:t xml:space="preserve"> and T</w:t>
                  </w:r>
                  <w:r>
                    <w:rPr>
                      <w:bCs/>
                      <w:sz w:val="20"/>
                      <w:szCs w:val="20"/>
                      <w:vertAlign w:val="subscript"/>
                    </w:rPr>
                    <w:t>SSB_measurement_period_inter</w:t>
                  </w:r>
                </w:p>
              </w:tc>
              <w:tc>
                <w:tcPr>
                  <w:tcW w:w="935" w:type="dxa"/>
                  <w:tcBorders>
                    <w:top w:val="single" w:sz="4" w:space="0" w:color="auto"/>
                    <w:left w:val="single" w:sz="4" w:space="0" w:color="auto"/>
                    <w:bottom w:val="single" w:sz="4" w:space="0" w:color="auto"/>
                    <w:right w:val="single" w:sz="4" w:space="0" w:color="auto"/>
                  </w:tcBorders>
                  <w:hideMark/>
                </w:tcPr>
                <w:p w14:paraId="02C214AD" w14:textId="77777777" w:rsidR="009E45B0" w:rsidRDefault="009E45B0" w:rsidP="009E45B0">
                  <w:pPr>
                    <w:snapToGrid w:val="0"/>
                    <w:spacing w:after="0"/>
                    <w:jc w:val="center"/>
                    <w:textAlignment w:val="baseline"/>
                    <w:rPr>
                      <w:bCs/>
                      <w:sz w:val="20"/>
                      <w:szCs w:val="20"/>
                    </w:rPr>
                  </w:pPr>
                  <w:r>
                    <w:rPr>
                      <w:bCs/>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F328" w14:textId="77777777" w:rsidR="009E45B0" w:rsidRDefault="009E45B0" w:rsidP="009E45B0">
                  <w:pPr>
                    <w:spacing w:after="0"/>
                    <w:rPr>
                      <w:rFonts w:eastAsia="MS Mincho"/>
                      <w:bCs/>
                      <w:sz w:val="20"/>
                      <w:szCs w:val="20"/>
                      <w:lang w:val="en-US" w:eastAsia="ko-KR"/>
                    </w:rPr>
                  </w:pPr>
                </w:p>
              </w:tc>
              <w:tc>
                <w:tcPr>
                  <w:tcW w:w="2088" w:type="dxa"/>
                  <w:tcBorders>
                    <w:top w:val="single" w:sz="4" w:space="0" w:color="auto"/>
                    <w:left w:val="single" w:sz="4" w:space="0" w:color="auto"/>
                    <w:bottom w:val="single" w:sz="4" w:space="0" w:color="auto"/>
                    <w:right w:val="single" w:sz="4" w:space="0" w:color="auto"/>
                  </w:tcBorders>
                  <w:hideMark/>
                </w:tcPr>
                <w:p w14:paraId="15403C39" w14:textId="77777777" w:rsidR="009E45B0" w:rsidRDefault="009E45B0" w:rsidP="009E45B0">
                  <w:pPr>
                    <w:snapToGrid w:val="0"/>
                    <w:spacing w:after="0"/>
                    <w:textAlignment w:val="baseline"/>
                    <w:rPr>
                      <w:bCs/>
                      <w:sz w:val="20"/>
                      <w:szCs w:val="20"/>
                    </w:rPr>
                  </w:pPr>
                  <w:r>
                    <w:rPr>
                      <w:bCs/>
                      <w:sz w:val="20"/>
                      <w:szCs w:val="20"/>
                    </w:rPr>
                    <w:t>CATT</w:t>
                  </w:r>
                </w:p>
              </w:tc>
            </w:tr>
            <w:tr w:rsidR="009E45B0" w14:paraId="6FEE6744" w14:textId="77777777" w:rsidTr="009E45B0">
              <w:trPr>
                <w:trHeight w:val="891"/>
                <w:jc w:val="center"/>
              </w:trPr>
              <w:tc>
                <w:tcPr>
                  <w:tcW w:w="689" w:type="dxa"/>
                  <w:tcBorders>
                    <w:top w:val="single" w:sz="4" w:space="0" w:color="auto"/>
                    <w:left w:val="single" w:sz="4" w:space="0" w:color="auto"/>
                    <w:bottom w:val="single" w:sz="4" w:space="0" w:color="auto"/>
                    <w:right w:val="single" w:sz="4" w:space="0" w:color="auto"/>
                  </w:tcBorders>
                  <w:hideMark/>
                </w:tcPr>
                <w:p w14:paraId="7A8F09AA" w14:textId="77777777" w:rsidR="009E45B0" w:rsidRDefault="009E45B0" w:rsidP="009E45B0">
                  <w:pPr>
                    <w:snapToGrid w:val="0"/>
                    <w:spacing w:after="0"/>
                    <w:textAlignment w:val="baseline"/>
                    <w:rPr>
                      <w:bCs/>
                      <w:sz w:val="20"/>
                      <w:szCs w:val="20"/>
                    </w:rPr>
                  </w:pPr>
                  <w:r>
                    <w:rPr>
                      <w:bCs/>
                      <w:sz w:val="20"/>
                      <w:szCs w:val="20"/>
                    </w:rPr>
                    <w:t>2</w:t>
                  </w:r>
                </w:p>
              </w:tc>
              <w:tc>
                <w:tcPr>
                  <w:tcW w:w="3217" w:type="dxa"/>
                  <w:tcBorders>
                    <w:top w:val="single" w:sz="4" w:space="0" w:color="auto"/>
                    <w:left w:val="single" w:sz="4" w:space="0" w:color="auto"/>
                    <w:bottom w:val="single" w:sz="4" w:space="0" w:color="auto"/>
                    <w:right w:val="single" w:sz="4" w:space="0" w:color="auto"/>
                  </w:tcBorders>
                  <w:hideMark/>
                </w:tcPr>
                <w:p w14:paraId="5C72AAF4" w14:textId="77777777" w:rsidR="009E45B0" w:rsidRDefault="009E45B0" w:rsidP="009E45B0">
                  <w:pPr>
                    <w:snapToGrid w:val="0"/>
                    <w:spacing w:after="0"/>
                    <w:jc w:val="center"/>
                    <w:textAlignment w:val="baseline"/>
                    <w:rPr>
                      <w:bCs/>
                      <w:sz w:val="20"/>
                      <w:szCs w:val="20"/>
                    </w:rPr>
                  </w:pPr>
                  <w:r>
                    <w:rPr>
                      <w:bCs/>
                      <w:sz w:val="20"/>
                      <w:szCs w:val="20"/>
                    </w:rPr>
                    <w:t>Scenario 2: SSB based Intra-frequency measurement with MG, including T</w:t>
                  </w:r>
                  <w:r>
                    <w:rPr>
                      <w:bCs/>
                      <w:sz w:val="20"/>
                      <w:szCs w:val="20"/>
                      <w:vertAlign w:val="subscript"/>
                    </w:rPr>
                    <w:t>PSS/SSS_sync_intra</w:t>
                  </w:r>
                  <w:r>
                    <w:rPr>
                      <w:bCs/>
                      <w:sz w:val="20"/>
                      <w:szCs w:val="20"/>
                    </w:rPr>
                    <w:t xml:space="preserve"> and T</w:t>
                  </w:r>
                  <w:r>
                    <w:rPr>
                      <w:bCs/>
                      <w:sz w:val="20"/>
                      <w:szCs w:val="20"/>
                      <w:vertAlign w:val="subscript"/>
                    </w:rPr>
                    <w:t>SSB_measurement_period_intra</w:t>
                  </w:r>
                </w:p>
              </w:tc>
              <w:tc>
                <w:tcPr>
                  <w:tcW w:w="935" w:type="dxa"/>
                  <w:tcBorders>
                    <w:top w:val="single" w:sz="4" w:space="0" w:color="auto"/>
                    <w:left w:val="single" w:sz="4" w:space="0" w:color="auto"/>
                    <w:bottom w:val="single" w:sz="4" w:space="0" w:color="auto"/>
                    <w:right w:val="single" w:sz="4" w:space="0" w:color="auto"/>
                  </w:tcBorders>
                  <w:hideMark/>
                </w:tcPr>
                <w:p w14:paraId="36153792"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vMerge w:val="restart"/>
                  <w:tcBorders>
                    <w:top w:val="single" w:sz="4" w:space="0" w:color="auto"/>
                    <w:left w:val="single" w:sz="4" w:space="0" w:color="auto"/>
                    <w:bottom w:val="single" w:sz="4" w:space="0" w:color="auto"/>
                    <w:right w:val="single" w:sz="4" w:space="0" w:color="auto"/>
                  </w:tcBorders>
                </w:tcPr>
                <w:p w14:paraId="6701A937"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With DRX, DRX.1 for sub-test1 and DRX.7 for sub-test2 (same as in table A.7.6.1.2.1-2) </w:t>
                  </w:r>
                </w:p>
                <w:p w14:paraId="45C58044"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 xml:space="preserve">In TC1/2/3/4, UE is only required to pass TC1+TC4, or TC2+TC3. </w:t>
                  </w:r>
                </w:p>
                <w:p w14:paraId="44D69003" w14:textId="77777777" w:rsidR="009E45B0" w:rsidRDefault="009E45B0" w:rsidP="009E45B0">
                  <w:pPr>
                    <w:pStyle w:val="ListParagraph"/>
                    <w:snapToGrid w:val="0"/>
                    <w:ind w:left="960" w:firstLine="400"/>
                    <w:rPr>
                      <w:bCs/>
                      <w:sz w:val="20"/>
                      <w:szCs w:val="20"/>
                      <w:lang w:eastAsia="ko-KR"/>
                    </w:rPr>
                  </w:pPr>
                </w:p>
                <w:p w14:paraId="765F9EB9" w14:textId="77777777" w:rsidR="009E45B0" w:rsidRDefault="009E45B0" w:rsidP="009E45B0">
                  <w:pPr>
                    <w:overflowPunct w:val="0"/>
                    <w:autoSpaceDE w:val="0"/>
                    <w:autoSpaceDN w:val="0"/>
                    <w:adjustRightInd w:val="0"/>
                    <w:snapToGrid w:val="0"/>
                    <w:jc w:val="both"/>
                    <w:textAlignment w:val="baseline"/>
                    <w:rPr>
                      <w:bCs/>
                      <w:sz w:val="20"/>
                      <w:szCs w:val="20"/>
                      <w:lang w:eastAsia="ko-KR"/>
                    </w:rPr>
                  </w:pPr>
                </w:p>
              </w:tc>
              <w:tc>
                <w:tcPr>
                  <w:tcW w:w="2088" w:type="dxa"/>
                  <w:tcBorders>
                    <w:top w:val="single" w:sz="4" w:space="0" w:color="auto"/>
                    <w:left w:val="single" w:sz="4" w:space="0" w:color="auto"/>
                    <w:bottom w:val="single" w:sz="4" w:space="0" w:color="auto"/>
                    <w:right w:val="single" w:sz="4" w:space="0" w:color="auto"/>
                  </w:tcBorders>
                  <w:hideMark/>
                </w:tcPr>
                <w:p w14:paraId="4D592507" w14:textId="77777777" w:rsidR="009E45B0" w:rsidRDefault="009E45B0" w:rsidP="009E45B0">
                  <w:pPr>
                    <w:snapToGrid w:val="0"/>
                    <w:spacing w:after="0"/>
                    <w:textAlignment w:val="baseline"/>
                    <w:rPr>
                      <w:bCs/>
                      <w:sz w:val="20"/>
                      <w:szCs w:val="20"/>
                      <w:lang w:eastAsia="ko-KR"/>
                    </w:rPr>
                  </w:pPr>
                  <w:r>
                    <w:rPr>
                      <w:bCs/>
                      <w:sz w:val="20"/>
                      <w:szCs w:val="20"/>
                    </w:rPr>
                    <w:t>Huawei</w:t>
                  </w:r>
                </w:p>
              </w:tc>
            </w:tr>
            <w:tr w:rsidR="009E45B0" w14:paraId="3974004D" w14:textId="77777777" w:rsidTr="009E45B0">
              <w:trPr>
                <w:trHeight w:val="984"/>
                <w:jc w:val="center"/>
              </w:trPr>
              <w:tc>
                <w:tcPr>
                  <w:tcW w:w="689" w:type="dxa"/>
                  <w:tcBorders>
                    <w:top w:val="single" w:sz="4" w:space="0" w:color="auto"/>
                    <w:left w:val="single" w:sz="4" w:space="0" w:color="auto"/>
                    <w:bottom w:val="single" w:sz="4" w:space="0" w:color="auto"/>
                    <w:right w:val="single" w:sz="4" w:space="0" w:color="auto"/>
                  </w:tcBorders>
                  <w:hideMark/>
                </w:tcPr>
                <w:p w14:paraId="27FC80DC" w14:textId="77777777" w:rsidR="009E45B0" w:rsidRDefault="009E45B0" w:rsidP="009E45B0">
                  <w:pPr>
                    <w:snapToGrid w:val="0"/>
                    <w:spacing w:after="0"/>
                    <w:textAlignment w:val="baseline"/>
                    <w:rPr>
                      <w:bCs/>
                      <w:sz w:val="20"/>
                      <w:szCs w:val="20"/>
                    </w:rPr>
                  </w:pPr>
                  <w:r>
                    <w:rPr>
                      <w:bCs/>
                      <w:sz w:val="20"/>
                      <w:szCs w:val="20"/>
                    </w:rPr>
                    <w:t>4</w:t>
                  </w:r>
                </w:p>
              </w:tc>
              <w:tc>
                <w:tcPr>
                  <w:tcW w:w="3217" w:type="dxa"/>
                  <w:tcBorders>
                    <w:top w:val="single" w:sz="4" w:space="0" w:color="auto"/>
                    <w:left w:val="single" w:sz="4" w:space="0" w:color="auto"/>
                    <w:bottom w:val="single" w:sz="4" w:space="0" w:color="auto"/>
                    <w:right w:val="single" w:sz="4" w:space="0" w:color="auto"/>
                  </w:tcBorders>
                  <w:hideMark/>
                </w:tcPr>
                <w:p w14:paraId="1CE833CB" w14:textId="77777777" w:rsidR="009E45B0" w:rsidRDefault="009E45B0" w:rsidP="009E45B0">
                  <w:pPr>
                    <w:snapToGrid w:val="0"/>
                    <w:spacing w:after="0"/>
                    <w:jc w:val="center"/>
                    <w:textAlignment w:val="baseline"/>
                    <w:rPr>
                      <w:bCs/>
                      <w:sz w:val="20"/>
                      <w:szCs w:val="20"/>
                    </w:rPr>
                  </w:pPr>
                  <w:r>
                    <w:rPr>
                      <w:bCs/>
                      <w:sz w:val="20"/>
                      <w:szCs w:val="20"/>
                    </w:rPr>
                    <w:t>Scenario 4: SSB based Inter-frequency measurement with MG, including T</w:t>
                  </w:r>
                  <w:r>
                    <w:rPr>
                      <w:bCs/>
                      <w:sz w:val="20"/>
                      <w:szCs w:val="20"/>
                      <w:vertAlign w:val="subscript"/>
                    </w:rPr>
                    <w:t>PSS/SSS_sync_inter</w:t>
                  </w:r>
                  <w:r>
                    <w:rPr>
                      <w:bCs/>
                      <w:sz w:val="20"/>
                      <w:szCs w:val="20"/>
                    </w:rPr>
                    <w:t>,  T</w:t>
                  </w:r>
                  <w:r>
                    <w:rPr>
                      <w:bCs/>
                      <w:sz w:val="20"/>
                      <w:szCs w:val="20"/>
                      <w:vertAlign w:val="subscript"/>
                    </w:rPr>
                    <w:t>SSB_time_index_inter</w:t>
                  </w:r>
                  <w:r>
                    <w:rPr>
                      <w:bCs/>
                      <w:sz w:val="20"/>
                      <w:szCs w:val="20"/>
                    </w:rPr>
                    <w:t xml:space="preserve"> and T</w:t>
                  </w:r>
                  <w:r>
                    <w:rPr>
                      <w:bCs/>
                      <w:sz w:val="20"/>
                      <w:szCs w:val="20"/>
                      <w:vertAlign w:val="subscript"/>
                    </w:rPr>
                    <w:t>SSB_measurement_period_inter</w:t>
                  </w:r>
                </w:p>
              </w:tc>
              <w:tc>
                <w:tcPr>
                  <w:tcW w:w="935" w:type="dxa"/>
                  <w:tcBorders>
                    <w:top w:val="single" w:sz="4" w:space="0" w:color="auto"/>
                    <w:left w:val="single" w:sz="4" w:space="0" w:color="auto"/>
                    <w:bottom w:val="single" w:sz="4" w:space="0" w:color="auto"/>
                    <w:right w:val="single" w:sz="4" w:space="0" w:color="auto"/>
                  </w:tcBorders>
                  <w:hideMark/>
                </w:tcPr>
                <w:p w14:paraId="1317AB3F" w14:textId="77777777" w:rsidR="009E45B0" w:rsidRDefault="009E45B0" w:rsidP="009E45B0">
                  <w:pPr>
                    <w:snapToGrid w:val="0"/>
                    <w:spacing w:after="0"/>
                    <w:jc w:val="center"/>
                    <w:textAlignment w:val="baseline"/>
                    <w:rPr>
                      <w:bCs/>
                      <w:sz w:val="20"/>
                      <w:szCs w:val="20"/>
                    </w:rPr>
                  </w:pPr>
                  <w:r>
                    <w:rPr>
                      <w:bCs/>
                      <w:sz w:val="20"/>
                      <w:szCs w:val="20"/>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141B8" w14:textId="77777777" w:rsidR="009E45B0" w:rsidRDefault="009E45B0" w:rsidP="009E45B0">
                  <w:pPr>
                    <w:spacing w:after="0"/>
                    <w:rPr>
                      <w:rFonts w:eastAsia="Times New Roman"/>
                      <w:bCs/>
                      <w:sz w:val="20"/>
                      <w:szCs w:val="20"/>
                      <w:lang w:val="en-US" w:eastAsia="ko-KR"/>
                    </w:rPr>
                  </w:pPr>
                </w:p>
              </w:tc>
              <w:tc>
                <w:tcPr>
                  <w:tcW w:w="2088" w:type="dxa"/>
                  <w:tcBorders>
                    <w:top w:val="single" w:sz="4" w:space="0" w:color="auto"/>
                    <w:left w:val="single" w:sz="4" w:space="0" w:color="auto"/>
                    <w:bottom w:val="single" w:sz="4" w:space="0" w:color="auto"/>
                    <w:right w:val="single" w:sz="4" w:space="0" w:color="auto"/>
                  </w:tcBorders>
                  <w:hideMark/>
                </w:tcPr>
                <w:p w14:paraId="4712DB4D" w14:textId="77777777" w:rsidR="009E45B0" w:rsidRDefault="009E45B0" w:rsidP="009E45B0">
                  <w:pPr>
                    <w:snapToGrid w:val="0"/>
                    <w:spacing w:after="0"/>
                    <w:textAlignment w:val="baseline"/>
                    <w:rPr>
                      <w:bCs/>
                      <w:sz w:val="20"/>
                      <w:szCs w:val="20"/>
                    </w:rPr>
                  </w:pPr>
                  <w:r>
                    <w:rPr>
                      <w:bCs/>
                      <w:sz w:val="20"/>
                      <w:szCs w:val="20"/>
                    </w:rPr>
                    <w:t>Samsung</w:t>
                  </w:r>
                </w:p>
              </w:tc>
            </w:tr>
            <w:tr w:rsidR="009E45B0" w14:paraId="5766DEB3" w14:textId="77777777" w:rsidTr="009E45B0">
              <w:trPr>
                <w:trHeight w:val="460"/>
                <w:jc w:val="center"/>
              </w:trPr>
              <w:tc>
                <w:tcPr>
                  <w:tcW w:w="689" w:type="dxa"/>
                  <w:vMerge w:val="restart"/>
                  <w:tcBorders>
                    <w:top w:val="single" w:sz="4" w:space="0" w:color="auto"/>
                    <w:left w:val="single" w:sz="4" w:space="0" w:color="auto"/>
                    <w:bottom w:val="single" w:sz="4" w:space="0" w:color="auto"/>
                    <w:right w:val="single" w:sz="4" w:space="0" w:color="auto"/>
                  </w:tcBorders>
                  <w:hideMark/>
                </w:tcPr>
                <w:p w14:paraId="323C4FF5" w14:textId="77777777" w:rsidR="009E45B0" w:rsidRDefault="009E45B0" w:rsidP="009E45B0">
                  <w:pPr>
                    <w:snapToGrid w:val="0"/>
                    <w:spacing w:after="0"/>
                    <w:textAlignment w:val="baseline"/>
                    <w:rPr>
                      <w:bCs/>
                      <w:sz w:val="20"/>
                      <w:szCs w:val="20"/>
                    </w:rPr>
                  </w:pPr>
                  <w:r>
                    <w:rPr>
                      <w:bCs/>
                      <w:sz w:val="20"/>
                      <w:szCs w:val="20"/>
                    </w:rPr>
                    <w:t>5</w:t>
                  </w:r>
                </w:p>
              </w:tc>
              <w:tc>
                <w:tcPr>
                  <w:tcW w:w="3217" w:type="dxa"/>
                  <w:vMerge w:val="restart"/>
                  <w:tcBorders>
                    <w:top w:val="single" w:sz="4" w:space="0" w:color="auto"/>
                    <w:left w:val="single" w:sz="4" w:space="0" w:color="auto"/>
                    <w:bottom w:val="single" w:sz="4" w:space="0" w:color="auto"/>
                    <w:right w:val="single" w:sz="4" w:space="0" w:color="auto"/>
                  </w:tcBorders>
                  <w:hideMark/>
                </w:tcPr>
                <w:p w14:paraId="4ED43681" w14:textId="77777777" w:rsidR="009E45B0" w:rsidRDefault="009E45B0" w:rsidP="009E45B0">
                  <w:pPr>
                    <w:snapToGrid w:val="0"/>
                    <w:spacing w:after="0"/>
                    <w:jc w:val="center"/>
                    <w:textAlignment w:val="baseline"/>
                    <w:rPr>
                      <w:bCs/>
                      <w:sz w:val="20"/>
                      <w:szCs w:val="20"/>
                    </w:rPr>
                  </w:pPr>
                  <w:r>
                    <w:rPr>
                      <w:bCs/>
                      <w:sz w:val="20"/>
                      <w:szCs w:val="20"/>
                    </w:rPr>
                    <w:t xml:space="preserve">Scenario 5: Handover </w:t>
                  </w:r>
                </w:p>
              </w:tc>
              <w:tc>
                <w:tcPr>
                  <w:tcW w:w="935" w:type="dxa"/>
                  <w:tcBorders>
                    <w:top w:val="single" w:sz="4" w:space="0" w:color="auto"/>
                    <w:left w:val="single" w:sz="4" w:space="0" w:color="auto"/>
                    <w:bottom w:val="single" w:sz="4" w:space="0" w:color="auto"/>
                    <w:right w:val="single" w:sz="4" w:space="0" w:color="auto"/>
                  </w:tcBorders>
                  <w:hideMark/>
                </w:tcPr>
                <w:p w14:paraId="3E3BDE29"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19C6A8EF"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Intra-frequency handover from FR2 to FR2</w:t>
                  </w:r>
                </w:p>
                <w:p w14:paraId="754B8AB9"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tc>
              <w:tc>
                <w:tcPr>
                  <w:tcW w:w="2088" w:type="dxa"/>
                  <w:vMerge w:val="restart"/>
                  <w:tcBorders>
                    <w:top w:val="single" w:sz="4" w:space="0" w:color="auto"/>
                    <w:left w:val="single" w:sz="4" w:space="0" w:color="auto"/>
                    <w:bottom w:val="single" w:sz="4" w:space="0" w:color="auto"/>
                    <w:right w:val="single" w:sz="4" w:space="0" w:color="auto"/>
                  </w:tcBorders>
                  <w:hideMark/>
                </w:tcPr>
                <w:p w14:paraId="6E15DA5C" w14:textId="77777777" w:rsidR="009E45B0" w:rsidRDefault="009E45B0" w:rsidP="009E45B0">
                  <w:pPr>
                    <w:snapToGrid w:val="0"/>
                    <w:spacing w:after="0"/>
                    <w:textAlignment w:val="baseline"/>
                    <w:rPr>
                      <w:bCs/>
                      <w:sz w:val="20"/>
                      <w:szCs w:val="20"/>
                      <w:lang w:eastAsia="ko-KR"/>
                    </w:rPr>
                  </w:pPr>
                  <w:r>
                    <w:rPr>
                      <w:bCs/>
                      <w:sz w:val="20"/>
                      <w:szCs w:val="20"/>
                    </w:rPr>
                    <w:t>OPPO</w:t>
                  </w:r>
                </w:p>
              </w:tc>
            </w:tr>
            <w:tr w:rsidR="009E45B0" w14:paraId="0A7B355F" w14:textId="77777777" w:rsidTr="009E45B0">
              <w:trPr>
                <w:trHeight w:val="6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A6CCB" w14:textId="77777777" w:rsidR="009E45B0" w:rsidRDefault="009E45B0" w:rsidP="009E45B0">
                  <w:pPr>
                    <w:spacing w:after="0"/>
                    <w:rPr>
                      <w:rFonts w:eastAsia="Times New Roman"/>
                      <w:bCs/>
                      <w:sz w:val="20"/>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C7394" w14:textId="77777777" w:rsidR="009E45B0" w:rsidRDefault="009E45B0" w:rsidP="009E45B0">
                  <w:pPr>
                    <w:spacing w:after="0"/>
                    <w:rPr>
                      <w:rFonts w:eastAsia="Times New Roman"/>
                      <w:bCs/>
                      <w:sz w:val="20"/>
                      <w:szCs w:val="20"/>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9DAA159"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336CB018"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Inter-frequency handover from FR2 to FR2</w:t>
                  </w:r>
                </w:p>
                <w:p w14:paraId="6BAC5D9C"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02228" w14:textId="77777777" w:rsidR="009E45B0" w:rsidRDefault="009E45B0" w:rsidP="009E45B0">
                  <w:pPr>
                    <w:spacing w:after="0"/>
                    <w:rPr>
                      <w:rFonts w:eastAsia="Times New Roman"/>
                      <w:bCs/>
                      <w:sz w:val="20"/>
                      <w:szCs w:val="20"/>
                      <w:lang w:val="en-US" w:eastAsia="ko-KR"/>
                    </w:rPr>
                  </w:pPr>
                </w:p>
              </w:tc>
            </w:tr>
            <w:tr w:rsidR="009E45B0" w14:paraId="4A908215" w14:textId="77777777" w:rsidTr="009E45B0">
              <w:trPr>
                <w:trHeight w:val="376"/>
                <w:jc w:val="center"/>
              </w:trPr>
              <w:tc>
                <w:tcPr>
                  <w:tcW w:w="689" w:type="dxa"/>
                  <w:vMerge w:val="restart"/>
                  <w:tcBorders>
                    <w:top w:val="single" w:sz="4" w:space="0" w:color="auto"/>
                    <w:left w:val="single" w:sz="4" w:space="0" w:color="auto"/>
                    <w:bottom w:val="single" w:sz="4" w:space="0" w:color="auto"/>
                    <w:right w:val="single" w:sz="4" w:space="0" w:color="auto"/>
                  </w:tcBorders>
                  <w:hideMark/>
                </w:tcPr>
                <w:p w14:paraId="33BB3303" w14:textId="77777777" w:rsidR="009E45B0" w:rsidRDefault="009E45B0" w:rsidP="009E45B0">
                  <w:pPr>
                    <w:snapToGrid w:val="0"/>
                    <w:spacing w:after="0"/>
                    <w:textAlignment w:val="baseline"/>
                    <w:rPr>
                      <w:bCs/>
                      <w:sz w:val="20"/>
                      <w:szCs w:val="20"/>
                    </w:rPr>
                  </w:pPr>
                  <w:r>
                    <w:rPr>
                      <w:bCs/>
                      <w:sz w:val="20"/>
                      <w:szCs w:val="20"/>
                    </w:rPr>
                    <w:lastRenderedPageBreak/>
                    <w:t>6</w:t>
                  </w:r>
                </w:p>
              </w:tc>
              <w:tc>
                <w:tcPr>
                  <w:tcW w:w="3217" w:type="dxa"/>
                  <w:vMerge w:val="restart"/>
                  <w:tcBorders>
                    <w:top w:val="single" w:sz="4" w:space="0" w:color="auto"/>
                    <w:left w:val="single" w:sz="4" w:space="0" w:color="auto"/>
                    <w:bottom w:val="single" w:sz="4" w:space="0" w:color="auto"/>
                    <w:right w:val="single" w:sz="4" w:space="0" w:color="auto"/>
                  </w:tcBorders>
                  <w:hideMark/>
                </w:tcPr>
                <w:p w14:paraId="2FA0C817" w14:textId="77777777" w:rsidR="009E45B0" w:rsidRDefault="009E45B0" w:rsidP="009E45B0">
                  <w:pPr>
                    <w:snapToGrid w:val="0"/>
                    <w:spacing w:after="0"/>
                    <w:jc w:val="center"/>
                    <w:textAlignment w:val="baseline"/>
                    <w:rPr>
                      <w:bCs/>
                      <w:sz w:val="20"/>
                      <w:szCs w:val="20"/>
                    </w:rPr>
                  </w:pPr>
                  <w:r>
                    <w:rPr>
                      <w:bCs/>
                      <w:sz w:val="20"/>
                      <w:szCs w:val="20"/>
                    </w:rPr>
                    <w:t>Scenario 7: RRC Re-establishment/RRC Connection Release with Redirection</w:t>
                  </w:r>
                </w:p>
              </w:tc>
              <w:tc>
                <w:tcPr>
                  <w:tcW w:w="935" w:type="dxa"/>
                  <w:tcBorders>
                    <w:top w:val="single" w:sz="4" w:space="0" w:color="auto"/>
                    <w:left w:val="single" w:sz="4" w:space="0" w:color="auto"/>
                    <w:bottom w:val="single" w:sz="4" w:space="0" w:color="auto"/>
                    <w:right w:val="single" w:sz="4" w:space="0" w:color="auto"/>
                  </w:tcBorders>
                  <w:hideMark/>
                </w:tcPr>
                <w:p w14:paraId="4628F791" w14:textId="77777777" w:rsidR="009E45B0" w:rsidRDefault="009E45B0" w:rsidP="009E45B0">
                  <w:pPr>
                    <w:snapToGrid w:val="0"/>
                    <w:spacing w:after="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2CAE4E05"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Inter-frequency RRC Re-establishment;</w:t>
                  </w:r>
                </w:p>
                <w:p w14:paraId="35F3CF36"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Unknown target cell</w:t>
                  </w:r>
                </w:p>
                <w:p w14:paraId="656129B3" w14:textId="77777777" w:rsidR="009E45B0" w:rsidRDefault="009E45B0" w:rsidP="009E45B0">
                  <w:pPr>
                    <w:pStyle w:val="ListParagraph"/>
                    <w:numPr>
                      <w:ilvl w:val="0"/>
                      <w:numId w:val="56"/>
                    </w:numPr>
                    <w:snapToGrid w:val="0"/>
                    <w:spacing w:after="0" w:line="240" w:lineRule="auto"/>
                    <w:ind w:left="176" w:hangingChars="88" w:hanging="176"/>
                    <w:jc w:val="both"/>
                    <w:rPr>
                      <w:bCs/>
                      <w:sz w:val="20"/>
                      <w:szCs w:val="20"/>
                      <w:lang w:eastAsia="ko-KR"/>
                    </w:rPr>
                  </w:pPr>
                  <w:r>
                    <w:rPr>
                      <w:bCs/>
                      <w:sz w:val="20"/>
                      <w:szCs w:val="20"/>
                      <w:lang w:eastAsia="ko-KR"/>
                    </w:rPr>
                    <w:t>FR2 to FR2</w:t>
                  </w:r>
                </w:p>
              </w:tc>
              <w:tc>
                <w:tcPr>
                  <w:tcW w:w="2088" w:type="dxa"/>
                  <w:vMerge w:val="restart"/>
                  <w:tcBorders>
                    <w:top w:val="single" w:sz="4" w:space="0" w:color="auto"/>
                    <w:left w:val="single" w:sz="4" w:space="0" w:color="auto"/>
                    <w:bottom w:val="single" w:sz="4" w:space="0" w:color="auto"/>
                    <w:right w:val="single" w:sz="4" w:space="0" w:color="auto"/>
                  </w:tcBorders>
                  <w:hideMark/>
                </w:tcPr>
                <w:p w14:paraId="5B89A51F" w14:textId="77777777" w:rsidR="009E45B0" w:rsidRDefault="009E45B0" w:rsidP="009E45B0">
                  <w:pPr>
                    <w:snapToGrid w:val="0"/>
                    <w:spacing w:after="0"/>
                    <w:textAlignment w:val="baseline"/>
                    <w:rPr>
                      <w:bCs/>
                      <w:sz w:val="20"/>
                      <w:szCs w:val="20"/>
                      <w:lang w:eastAsia="ko-KR"/>
                    </w:rPr>
                  </w:pPr>
                  <w:r>
                    <w:rPr>
                      <w:bCs/>
                      <w:sz w:val="20"/>
                      <w:szCs w:val="20"/>
                    </w:rPr>
                    <w:t>Intel</w:t>
                  </w:r>
                </w:p>
              </w:tc>
            </w:tr>
            <w:tr w:rsidR="009E45B0" w14:paraId="20138316" w14:textId="77777777" w:rsidTr="009E45B0">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B4815" w14:textId="77777777" w:rsidR="009E45B0" w:rsidRDefault="009E45B0" w:rsidP="009E45B0">
                  <w:pPr>
                    <w:spacing w:after="0"/>
                    <w:rPr>
                      <w:rFonts w:eastAsia="Times New Roman"/>
                      <w:bCs/>
                      <w:sz w:val="20"/>
                      <w:szCs w:val="2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090D" w14:textId="77777777" w:rsidR="009E45B0" w:rsidRDefault="009E45B0" w:rsidP="009E45B0">
                  <w:pPr>
                    <w:spacing w:after="0"/>
                    <w:rPr>
                      <w:rFonts w:eastAsia="Times New Roman"/>
                      <w:bCs/>
                      <w:sz w:val="20"/>
                      <w:szCs w:val="20"/>
                      <w:lang w:val="en-US"/>
                    </w:rPr>
                  </w:pPr>
                </w:p>
              </w:tc>
              <w:tc>
                <w:tcPr>
                  <w:tcW w:w="935" w:type="dxa"/>
                  <w:tcBorders>
                    <w:top w:val="single" w:sz="4" w:space="0" w:color="auto"/>
                    <w:left w:val="single" w:sz="4" w:space="0" w:color="auto"/>
                    <w:bottom w:val="single" w:sz="4" w:space="0" w:color="auto"/>
                    <w:right w:val="single" w:sz="4" w:space="0" w:color="auto"/>
                  </w:tcBorders>
                  <w:hideMark/>
                </w:tcPr>
                <w:p w14:paraId="578CECC5" w14:textId="77777777" w:rsidR="009E45B0" w:rsidRDefault="009E45B0" w:rsidP="009E45B0">
                  <w:pPr>
                    <w:snapToGrid w:val="0"/>
                    <w:jc w:val="center"/>
                    <w:textAlignment w:val="baseline"/>
                    <w:rPr>
                      <w:bCs/>
                      <w:sz w:val="20"/>
                      <w:szCs w:val="20"/>
                      <w:lang w:eastAsia="ko-KR"/>
                    </w:rPr>
                  </w:pPr>
                  <w:r>
                    <w:rPr>
                      <w:bCs/>
                      <w:sz w:val="20"/>
                      <w:szCs w:val="20"/>
                      <w:lang w:eastAsia="ko-KR"/>
                    </w:rPr>
                    <w:t>1</w:t>
                  </w:r>
                </w:p>
              </w:tc>
              <w:tc>
                <w:tcPr>
                  <w:tcW w:w="2702" w:type="dxa"/>
                  <w:tcBorders>
                    <w:top w:val="single" w:sz="4" w:space="0" w:color="auto"/>
                    <w:left w:val="single" w:sz="4" w:space="0" w:color="auto"/>
                    <w:bottom w:val="single" w:sz="4" w:space="0" w:color="auto"/>
                    <w:right w:val="single" w:sz="4" w:space="0" w:color="auto"/>
                  </w:tcBorders>
                  <w:hideMark/>
                </w:tcPr>
                <w:p w14:paraId="5464327B" w14:textId="77777777" w:rsidR="009E45B0" w:rsidRDefault="009E45B0" w:rsidP="009E45B0">
                  <w:pPr>
                    <w:pStyle w:val="ListParagraph"/>
                    <w:numPr>
                      <w:ilvl w:val="0"/>
                      <w:numId w:val="56"/>
                    </w:numPr>
                    <w:snapToGrid w:val="0"/>
                    <w:spacing w:after="180" w:line="240" w:lineRule="auto"/>
                    <w:ind w:left="176" w:hangingChars="88" w:hanging="176"/>
                    <w:jc w:val="both"/>
                    <w:rPr>
                      <w:bCs/>
                      <w:sz w:val="20"/>
                      <w:szCs w:val="20"/>
                    </w:rPr>
                  </w:pPr>
                  <w:r>
                    <w:rPr>
                      <w:bCs/>
                      <w:sz w:val="20"/>
                      <w:szCs w:val="20"/>
                      <w:lang w:eastAsia="ko-KR"/>
                    </w:rPr>
                    <w:t>RRC Connection release with redirection</w:t>
                  </w:r>
                </w:p>
                <w:p w14:paraId="22F18E9F" w14:textId="77777777" w:rsidR="009E45B0" w:rsidRDefault="009E45B0" w:rsidP="009E45B0">
                  <w:pPr>
                    <w:pStyle w:val="ListParagraph"/>
                    <w:numPr>
                      <w:ilvl w:val="0"/>
                      <w:numId w:val="56"/>
                    </w:numPr>
                    <w:snapToGrid w:val="0"/>
                    <w:spacing w:after="180" w:line="240" w:lineRule="auto"/>
                    <w:ind w:left="176" w:hangingChars="88" w:hanging="176"/>
                    <w:jc w:val="both"/>
                    <w:rPr>
                      <w:bCs/>
                      <w:sz w:val="20"/>
                      <w:szCs w:val="20"/>
                    </w:rPr>
                  </w:pPr>
                  <w:r>
                    <w:rPr>
                      <w:bCs/>
                      <w:sz w:val="20"/>
                      <w:szCs w:val="20"/>
                      <w:lang w:eastAsia="ko-KR"/>
                    </w:rPr>
                    <w:t xml:space="preserve">FR2 to FR2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3FDB" w14:textId="77777777" w:rsidR="009E45B0" w:rsidRDefault="009E45B0" w:rsidP="009E45B0">
                  <w:pPr>
                    <w:spacing w:after="0"/>
                    <w:rPr>
                      <w:rFonts w:eastAsia="Times New Roman"/>
                      <w:bCs/>
                      <w:sz w:val="20"/>
                      <w:szCs w:val="20"/>
                      <w:lang w:val="en-US" w:eastAsia="ko-KR"/>
                    </w:rPr>
                  </w:pPr>
                </w:p>
              </w:tc>
            </w:tr>
          </w:tbl>
          <w:p w14:paraId="4C318E01" w14:textId="77777777" w:rsidR="009E45B0" w:rsidRPr="009E45B0" w:rsidRDefault="009E45B0" w:rsidP="004C65ED">
            <w:pPr>
              <w:jc w:val="both"/>
            </w:pPr>
          </w:p>
        </w:tc>
      </w:tr>
    </w:tbl>
    <w:p w14:paraId="047F96C4" w14:textId="50041101" w:rsidR="004C65ED" w:rsidRPr="004C65ED" w:rsidRDefault="004C65ED" w:rsidP="004C65ED">
      <w:pPr>
        <w:jc w:val="both"/>
      </w:pPr>
    </w:p>
    <w:tbl>
      <w:tblPr>
        <w:tblStyle w:val="TableGrid"/>
        <w:tblW w:w="0" w:type="auto"/>
        <w:tblLook w:val="04A0" w:firstRow="1" w:lastRow="0" w:firstColumn="1" w:lastColumn="0" w:noHBand="0" w:noVBand="1"/>
      </w:tblPr>
      <w:tblGrid>
        <w:gridCol w:w="9629"/>
      </w:tblGrid>
      <w:tr w:rsidR="00790115" w14:paraId="76E2AAB9" w14:textId="77777777" w:rsidTr="00790115">
        <w:tc>
          <w:tcPr>
            <w:tcW w:w="9629" w:type="dxa"/>
          </w:tcPr>
          <w:p w14:paraId="09228B09" w14:textId="77777777" w:rsidR="009E45B0" w:rsidRDefault="009E45B0" w:rsidP="009E45B0">
            <w:pPr>
              <w:rPr>
                <w:rFonts w:eastAsia="Times New Roman"/>
                <w:b/>
                <w:color w:val="0070C0"/>
                <w:u w:val="single"/>
                <w:lang w:eastAsia="ko-KR"/>
              </w:rPr>
            </w:pPr>
            <w:r>
              <w:rPr>
                <w:b/>
                <w:color w:val="0070C0"/>
                <w:u w:val="single"/>
                <w:lang w:eastAsia="ko-KR"/>
              </w:rPr>
              <w:t>Issue 2-1-2: whether or not to test FBS quitting</w:t>
            </w:r>
          </w:p>
          <w:p w14:paraId="66D28FAB" w14:textId="77777777" w:rsidR="009E45B0" w:rsidRDefault="009E45B0" w:rsidP="009E45B0">
            <w:pPr>
              <w:pStyle w:val="ListParagraph"/>
              <w:numPr>
                <w:ilvl w:val="0"/>
                <w:numId w:val="57"/>
              </w:numPr>
              <w:overflowPunct w:val="0"/>
              <w:autoSpaceDE w:val="0"/>
              <w:autoSpaceDN w:val="0"/>
              <w:adjustRightInd w:val="0"/>
              <w:spacing w:after="120" w:line="240" w:lineRule="auto"/>
              <w:ind w:left="360"/>
              <w:rPr>
                <w:rFonts w:eastAsia="SimSun"/>
              </w:rPr>
            </w:pPr>
            <w:r>
              <w:rPr>
                <w:rFonts w:eastAsia="SimSun"/>
              </w:rPr>
              <w:t xml:space="preserve">Option 1(CMCC): </w:t>
            </w:r>
            <w:r>
              <w:rPr>
                <w:rFonts w:eastAsia="SimSun"/>
                <w:iCs/>
              </w:rPr>
              <w:t>it is proposed to discuss whether to test FBS quiting when FBS conditions are met, e.g. whether to test that UE fallback to normal measurement when it has performed fast measurement for at least T1 from the time point when UE enters the FBS mode after meeting the FBS entry condition.</w:t>
            </w:r>
          </w:p>
          <w:p w14:paraId="36DE8683" w14:textId="77777777" w:rsidR="009E45B0" w:rsidRDefault="009E45B0" w:rsidP="009E45B0">
            <w:pPr>
              <w:pStyle w:val="ListParagraph"/>
              <w:numPr>
                <w:ilvl w:val="0"/>
                <w:numId w:val="57"/>
              </w:numPr>
              <w:autoSpaceDN w:val="0"/>
              <w:spacing w:after="120" w:line="240" w:lineRule="auto"/>
              <w:ind w:left="360"/>
              <w:rPr>
                <w:rFonts w:eastAsia="SimSun"/>
                <w:highlight w:val="yellow"/>
              </w:rPr>
            </w:pPr>
            <w:r>
              <w:rPr>
                <w:rFonts w:eastAsia="SimSun"/>
                <w:highlight w:val="yellow"/>
              </w:rPr>
              <w:t>[Way forward]</w:t>
            </w:r>
          </w:p>
          <w:p w14:paraId="067CA56B" w14:textId="5E4C6B71" w:rsidR="00790115" w:rsidRPr="009E45B0" w:rsidRDefault="009E45B0" w:rsidP="009E45B0">
            <w:pPr>
              <w:pStyle w:val="ListParagraph"/>
              <w:numPr>
                <w:ilvl w:val="1"/>
                <w:numId w:val="57"/>
              </w:numPr>
              <w:autoSpaceDN w:val="0"/>
              <w:spacing w:after="180" w:line="240" w:lineRule="auto"/>
              <w:ind w:left="1080"/>
              <w:rPr>
                <w:rFonts w:eastAsia="SimSun"/>
              </w:rPr>
            </w:pPr>
            <w:r>
              <w:rPr>
                <w:rFonts w:eastAsia="SimSun"/>
              </w:rPr>
              <w:t>Continue discussion in RAN4#116bis.</w:t>
            </w:r>
          </w:p>
        </w:tc>
      </w:tr>
    </w:tbl>
    <w:p w14:paraId="313A5132" w14:textId="6B24692D" w:rsidR="004C65ED" w:rsidRDefault="004C65ED" w:rsidP="008B74B7">
      <w:pPr>
        <w:jc w:val="both"/>
      </w:pPr>
    </w:p>
    <w:p w14:paraId="08EBBC72" w14:textId="59584CEC" w:rsidR="00790115" w:rsidRDefault="009E45B0" w:rsidP="008B74B7">
      <w:pPr>
        <w:jc w:val="both"/>
      </w:pPr>
      <w:r>
        <w:t xml:space="preserve">For issue 2-1-2, some companies proposed to test FBS quitting (i.e., after UE activate multi-Rx for fast beam sweeping). Quitting FBS can be due to 1) T1 timer of 90s has expired, 2) UAI indication to switch to single-Rx, or 3) the conditions are not satisfied anymore after UE activate FBS. In any case, UE is not required to be tested whether UE is not using multi-Rx anymore when these quitting cases could occur since this will be completely up to UE. In other words, UE is only required to be tested when UE is required to activate multi-Rx for FBS, not the other way around. </w:t>
      </w:r>
    </w:p>
    <w:p w14:paraId="5D1D9617" w14:textId="5DA1FE9F" w:rsidR="00D80B99" w:rsidRDefault="00790115" w:rsidP="00D80B99">
      <w:pPr>
        <w:jc w:val="both"/>
        <w:rPr>
          <w:b/>
          <w:bCs/>
        </w:rPr>
      </w:pPr>
      <w:r>
        <w:rPr>
          <w:b/>
          <w:bCs/>
        </w:rPr>
        <w:t xml:space="preserve">Proposal 1: </w:t>
      </w:r>
      <w:r w:rsidR="009E45B0">
        <w:rPr>
          <w:b/>
          <w:bCs/>
        </w:rPr>
        <w:t xml:space="preserve">Not need to test the quitting of FBS </w:t>
      </w:r>
      <w:r w:rsidR="009E45B0" w:rsidRPr="009E45B0">
        <w:rPr>
          <w:b/>
          <w:bCs/>
        </w:rPr>
        <w:t>(i.e., after UE activate multi-Rx for fast beam sweeping)</w:t>
      </w:r>
      <w:r w:rsidR="009E45B0">
        <w:rPr>
          <w:b/>
          <w:bCs/>
        </w:rPr>
        <w:t>.</w:t>
      </w:r>
    </w:p>
    <w:p w14:paraId="466D5653" w14:textId="7B9C4DDC" w:rsidR="009E45B0" w:rsidRDefault="009E45B0" w:rsidP="009E45B0">
      <w:pPr>
        <w:jc w:val="both"/>
        <w:rPr>
          <w:b/>
          <w:bCs/>
        </w:rPr>
      </w:pPr>
      <w:r>
        <w:rPr>
          <w:b/>
          <w:bCs/>
        </w:rPr>
        <w:t xml:space="preserve">Proposal 2: The TCs are only required to test when </w:t>
      </w:r>
      <w:r w:rsidRPr="009E45B0">
        <w:rPr>
          <w:b/>
          <w:bCs/>
        </w:rPr>
        <w:t xml:space="preserve">UE is required to </w:t>
      </w:r>
      <w:r>
        <w:rPr>
          <w:b/>
          <w:bCs/>
        </w:rPr>
        <w:t>apply</w:t>
      </w:r>
      <w:r w:rsidRPr="009E45B0">
        <w:rPr>
          <w:b/>
          <w:bCs/>
        </w:rPr>
        <w:t xml:space="preserve"> FBS</w:t>
      </w:r>
      <w:r>
        <w:rPr>
          <w:b/>
          <w:bCs/>
        </w:rPr>
        <w:t xml:space="preserve"> for L3 measurement delay reduction.</w:t>
      </w:r>
    </w:p>
    <w:p w14:paraId="08008AF1" w14:textId="77777777" w:rsidR="009E45B0" w:rsidRDefault="009E45B0" w:rsidP="00D80B99">
      <w:pPr>
        <w:jc w:val="both"/>
        <w:rPr>
          <w:b/>
          <w:bCs/>
        </w:rPr>
      </w:pPr>
    </w:p>
    <w:p w14:paraId="31C1BA69" w14:textId="7408B870" w:rsidR="009E45B0" w:rsidRPr="009E45B0" w:rsidRDefault="009E45B0" w:rsidP="00D80B99">
      <w:pPr>
        <w:jc w:val="both"/>
      </w:pPr>
      <w:r w:rsidRPr="009E45B0">
        <w:t xml:space="preserve">This </w:t>
      </w:r>
      <w:r>
        <w:t xml:space="preserve">can be achieved by </w:t>
      </w:r>
      <w:r w:rsidRPr="009E45B0">
        <w:t xml:space="preserve">using serving cell’s quality </w:t>
      </w:r>
      <w:r>
        <w:t>as the</w:t>
      </w:r>
      <w:r w:rsidRPr="009E45B0">
        <w:t xml:space="preserve"> triggering condition</w:t>
      </w:r>
      <w:r>
        <w:t xml:space="preserve"> for FBS. The TE</w:t>
      </w:r>
      <w:r w:rsidR="008B67DD">
        <w:t>’s</w:t>
      </w:r>
      <w:r>
        <w:t xml:space="preserve"> power can be adjusted to be higher than a threshold at T1, then lower</w:t>
      </w:r>
      <w:r w:rsidR="008B67DD">
        <w:t xml:space="preserve"> power</w:t>
      </w:r>
      <w:r>
        <w:t xml:space="preserve"> than a threshold</w:t>
      </w:r>
      <w:r w:rsidR="008B67DD">
        <w:t xml:space="preserve"> </w:t>
      </w:r>
      <w:r>
        <w:t>at T2. The UE need to send measurement report based on FBS within the time period of T2.</w:t>
      </w:r>
    </w:p>
    <w:p w14:paraId="0A8B54B3" w14:textId="61690BAA" w:rsidR="00790115" w:rsidRDefault="00790115" w:rsidP="00790115">
      <w:pPr>
        <w:jc w:val="both"/>
        <w:rPr>
          <w:b/>
          <w:bCs/>
        </w:rPr>
      </w:pPr>
      <w:r>
        <w:rPr>
          <w:b/>
          <w:bCs/>
        </w:rPr>
        <w:t xml:space="preserve">Proposal </w:t>
      </w:r>
      <w:r w:rsidR="009E45B0">
        <w:rPr>
          <w:b/>
          <w:bCs/>
        </w:rPr>
        <w:t>3</w:t>
      </w:r>
      <w:r>
        <w:rPr>
          <w:b/>
          <w:bCs/>
        </w:rPr>
        <w:t xml:space="preserve">: </w:t>
      </w:r>
      <w:r w:rsidR="009E45B0">
        <w:rPr>
          <w:b/>
          <w:bCs/>
        </w:rPr>
        <w:t xml:space="preserve">Use two different power levels of the serving cell to trigger </w:t>
      </w:r>
      <w:r w:rsidR="009E45B0" w:rsidRPr="009E45B0">
        <w:rPr>
          <w:b/>
          <w:bCs/>
        </w:rPr>
        <w:t>FBS</w:t>
      </w:r>
      <w:r w:rsidR="009E45B0">
        <w:rPr>
          <w:b/>
          <w:bCs/>
        </w:rPr>
        <w:t xml:space="preserve"> in the TCs</w:t>
      </w:r>
      <w:r>
        <w:rPr>
          <w:b/>
          <w:bCs/>
        </w:rPr>
        <w:t>.</w:t>
      </w:r>
    </w:p>
    <w:p w14:paraId="2A3739F7" w14:textId="544A2EE6" w:rsidR="002634C9" w:rsidRPr="004D4F98" w:rsidRDefault="002634C9" w:rsidP="002634C9">
      <w:pPr>
        <w:pStyle w:val="Heading1"/>
        <w:rPr>
          <w:lang w:val="en-US"/>
        </w:rPr>
      </w:pPr>
      <w:r w:rsidRPr="004D4F98">
        <w:rPr>
          <w:lang w:val="en-US"/>
        </w:rPr>
        <w:t>Summary</w:t>
      </w:r>
    </w:p>
    <w:p w14:paraId="41ACA455" w14:textId="482258F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A54369">
        <w:rPr>
          <w:lang w:eastAsia="ja-JP"/>
        </w:rPr>
        <w:t xml:space="preserve">observations and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42A1A80E" w14:textId="77777777" w:rsidR="009E45B0" w:rsidRDefault="009E45B0" w:rsidP="009E45B0">
      <w:pPr>
        <w:jc w:val="both"/>
        <w:rPr>
          <w:b/>
          <w:bCs/>
        </w:rPr>
      </w:pPr>
      <w:r>
        <w:rPr>
          <w:b/>
          <w:bCs/>
        </w:rPr>
        <w:t>Proposal 1: Not need to test the quitting of FBS (i.e., after UE activate multi-Rx for fast beam sweeping).</w:t>
      </w:r>
    </w:p>
    <w:p w14:paraId="4EB9038B" w14:textId="77777777" w:rsidR="009E45B0" w:rsidRDefault="009E45B0" w:rsidP="009E45B0">
      <w:pPr>
        <w:jc w:val="both"/>
        <w:rPr>
          <w:b/>
          <w:bCs/>
        </w:rPr>
      </w:pPr>
      <w:r>
        <w:rPr>
          <w:b/>
          <w:bCs/>
        </w:rPr>
        <w:t>Proposal 2: The TCs are only required to test when UE is required to apply FBS for L3 measurement delay reduction.</w:t>
      </w:r>
    </w:p>
    <w:p w14:paraId="76B20F8A" w14:textId="77777777" w:rsidR="009E45B0" w:rsidRDefault="009E45B0" w:rsidP="009E45B0">
      <w:pPr>
        <w:jc w:val="both"/>
        <w:rPr>
          <w:b/>
          <w:bCs/>
        </w:rPr>
      </w:pPr>
      <w:r>
        <w:rPr>
          <w:b/>
          <w:bCs/>
        </w:rPr>
        <w:t>Proposal 3: Use two different power levels of the serving cell to trigger FBS in the TCs.</w:t>
      </w:r>
    </w:p>
    <w:p w14:paraId="44B79076" w14:textId="77777777" w:rsidR="00A54369" w:rsidRDefault="00A5436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6ED463F4" w14:textId="77777777" w:rsidR="009E45B0" w:rsidRDefault="009E45B0" w:rsidP="009E45B0">
      <w:pPr>
        <w:pStyle w:val="ListParagraph"/>
        <w:numPr>
          <w:ilvl w:val="0"/>
          <w:numId w:val="2"/>
        </w:numPr>
        <w:spacing w:line="254" w:lineRule="auto"/>
      </w:pPr>
      <w:bookmarkStart w:id="1" w:name="_Ref210297714"/>
      <w:bookmarkStart w:id="2" w:name="_Ref182018765"/>
      <w:r>
        <w:t>R4-2512124, WF on RRM requirements for NR_RRM_Ph5_Part1, Apple.</w:t>
      </w:r>
      <w:bookmarkEnd w:id="1"/>
    </w:p>
    <w:bookmarkEnd w:id="2"/>
    <w:p w14:paraId="48BD853C" w14:textId="6D88853A" w:rsidR="006A7A50" w:rsidRPr="001A5974" w:rsidRDefault="006A7A50" w:rsidP="004C65ED">
      <w:pPr>
        <w:spacing w:line="256" w:lineRule="auto"/>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70CF8" w14:textId="77777777" w:rsidR="004608BB" w:rsidRDefault="004608BB">
      <w:r>
        <w:separator/>
      </w:r>
    </w:p>
  </w:endnote>
  <w:endnote w:type="continuationSeparator" w:id="0">
    <w:p w14:paraId="41382BB4" w14:textId="77777777" w:rsidR="004608BB" w:rsidRDefault="00460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EA36F" w14:textId="77777777" w:rsidR="004608BB" w:rsidRDefault="004608BB">
      <w:r>
        <w:separator/>
      </w:r>
    </w:p>
  </w:footnote>
  <w:footnote w:type="continuationSeparator" w:id="0">
    <w:p w14:paraId="4290CBC3" w14:textId="77777777" w:rsidR="004608BB" w:rsidRDefault="00460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FE6E44"/>
    <w:multiLevelType w:val="hybridMultilevel"/>
    <w:tmpl w:val="E788F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shadow w:val="0"/>
        <w:emboss w:val="0"/>
        <w:imprint w:val="0"/>
        <w:color w:val="4A4A4A"/>
        <w:spacing w:val="0"/>
        <w:w w:val="100"/>
        <w:kern w:val="0"/>
        <w:position w:val="0"/>
        <w:highlight w:val="none"/>
        <w:u w:val="none"/>
        <w:effec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1" w15:restartNumberingAfterBreak="0">
    <w:nsid w:val="3EFC7D87"/>
    <w:multiLevelType w:val="hybridMultilevel"/>
    <w:tmpl w:val="1206C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C714C8"/>
    <w:multiLevelType w:val="hybridMultilevel"/>
    <w:tmpl w:val="F38AAB5C"/>
    <w:lvl w:ilvl="0" w:tplc="EA28BC08">
      <w:start w:val="1"/>
      <w:numFmt w:val="bullet"/>
      <w:lvlText w:val="•"/>
      <w:lvlJc w:val="left"/>
      <w:pPr>
        <w:ind w:left="440" w:hanging="440"/>
      </w:pPr>
      <w:rPr>
        <w:rFonts w:ascii="SimSun" w:eastAsia="Times New Roman" w:hAnsi="SimSun" w:hint="eastAsia"/>
      </w:rPr>
    </w:lvl>
    <w:lvl w:ilvl="1" w:tplc="04090003">
      <w:start w:val="1"/>
      <w:numFmt w:val="bullet"/>
      <w:lvlText w:val=""/>
      <w:lvlJc w:val="left"/>
      <w:pPr>
        <w:ind w:left="1520" w:hanging="440"/>
      </w:pPr>
      <w:rPr>
        <w:rFonts w:ascii="Wingdings" w:hAnsi="Wingdings" w:hint="default"/>
      </w:rPr>
    </w:lvl>
    <w:lvl w:ilvl="2" w:tplc="04090005">
      <w:start w:val="1"/>
      <w:numFmt w:val="bullet"/>
      <w:lvlText w:val=""/>
      <w:lvlJc w:val="left"/>
      <w:pPr>
        <w:ind w:left="1960" w:hanging="440"/>
      </w:pPr>
      <w:rPr>
        <w:rFonts w:ascii="Wingdings" w:hAnsi="Wingdings" w:hint="default"/>
      </w:rPr>
    </w:lvl>
    <w:lvl w:ilvl="3" w:tplc="04090001">
      <w:start w:val="1"/>
      <w:numFmt w:val="bullet"/>
      <w:lvlText w:val=""/>
      <w:lvlJc w:val="left"/>
      <w:pPr>
        <w:ind w:left="2400" w:hanging="440"/>
      </w:pPr>
      <w:rPr>
        <w:rFonts w:ascii="Wingdings" w:hAnsi="Wingdings" w:hint="default"/>
      </w:rPr>
    </w:lvl>
    <w:lvl w:ilvl="4" w:tplc="04090003">
      <w:start w:val="1"/>
      <w:numFmt w:val="bullet"/>
      <w:lvlText w:val=""/>
      <w:lvlJc w:val="left"/>
      <w:pPr>
        <w:ind w:left="2840" w:hanging="440"/>
      </w:pPr>
      <w:rPr>
        <w:rFonts w:ascii="Wingdings" w:hAnsi="Wingdings" w:hint="default"/>
      </w:rPr>
    </w:lvl>
    <w:lvl w:ilvl="5" w:tplc="04090005">
      <w:start w:val="1"/>
      <w:numFmt w:val="bullet"/>
      <w:lvlText w:val=""/>
      <w:lvlJc w:val="left"/>
      <w:pPr>
        <w:ind w:left="3280" w:hanging="440"/>
      </w:pPr>
      <w:rPr>
        <w:rFonts w:ascii="Wingdings" w:hAnsi="Wingdings" w:hint="default"/>
      </w:rPr>
    </w:lvl>
    <w:lvl w:ilvl="6" w:tplc="04090001">
      <w:start w:val="1"/>
      <w:numFmt w:val="bullet"/>
      <w:lvlText w:val=""/>
      <w:lvlJc w:val="left"/>
      <w:pPr>
        <w:ind w:left="3720" w:hanging="440"/>
      </w:pPr>
      <w:rPr>
        <w:rFonts w:ascii="Wingdings" w:hAnsi="Wingdings" w:hint="default"/>
      </w:rPr>
    </w:lvl>
    <w:lvl w:ilvl="7" w:tplc="04090003">
      <w:start w:val="1"/>
      <w:numFmt w:val="bullet"/>
      <w:lvlText w:val=""/>
      <w:lvlJc w:val="left"/>
      <w:pPr>
        <w:ind w:left="4160" w:hanging="440"/>
      </w:pPr>
      <w:rPr>
        <w:rFonts w:ascii="Wingdings" w:hAnsi="Wingdings" w:hint="default"/>
      </w:rPr>
    </w:lvl>
    <w:lvl w:ilvl="8" w:tplc="04090005">
      <w:start w:val="1"/>
      <w:numFmt w:val="bullet"/>
      <w:lvlText w:val=""/>
      <w:lvlJc w:val="left"/>
      <w:pPr>
        <w:ind w:left="4600" w:hanging="440"/>
      </w:pPr>
      <w:rPr>
        <w:rFonts w:ascii="Wingdings" w:hAnsi="Wingdings" w:hint="default"/>
      </w:rPr>
    </w:lvl>
  </w:abstractNum>
  <w:abstractNum w:abstractNumId="23"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BA0D1A"/>
    <w:multiLevelType w:val="hybridMultilevel"/>
    <w:tmpl w:val="91F60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F9A319B"/>
    <w:multiLevelType w:val="hybridMultilevel"/>
    <w:tmpl w:val="71148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02AB8"/>
    <w:multiLevelType w:val="hybridMultilevel"/>
    <w:tmpl w:val="37263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4"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35"/>
  </w:num>
  <w:num w:numId="2" w16cid:durableId="17387490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7"/>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9"/>
  </w:num>
  <w:num w:numId="6" w16cid:durableId="123088283">
    <w:abstractNumId w:val="23"/>
  </w:num>
  <w:num w:numId="7" w16cid:durableId="933320673">
    <w:abstractNumId w:val="11"/>
  </w:num>
  <w:num w:numId="8" w16cid:durableId="1639996714">
    <w:abstractNumId w:val="25"/>
  </w:num>
  <w:num w:numId="9" w16cid:durableId="913469679">
    <w:abstractNumId w:val="23"/>
  </w:num>
  <w:num w:numId="10" w16cid:durableId="1545212710">
    <w:abstractNumId w:val="25"/>
  </w:num>
  <w:num w:numId="11" w16cid:durableId="1093014052">
    <w:abstractNumId w:val="0"/>
  </w:num>
  <w:num w:numId="12" w16cid:durableId="1287157629">
    <w:abstractNumId w:val="9"/>
  </w:num>
  <w:num w:numId="13" w16cid:durableId="2027827007">
    <w:abstractNumId w:val="24"/>
  </w:num>
  <w:num w:numId="14" w16cid:durableId="797920952">
    <w:abstractNumId w:val="15"/>
  </w:num>
  <w:num w:numId="15" w16cid:durableId="1583298407">
    <w:abstractNumId w:val="15"/>
  </w:num>
  <w:num w:numId="16" w16cid:durableId="729232797">
    <w:abstractNumId w:val="34"/>
  </w:num>
  <w:num w:numId="17" w16cid:durableId="1809740761">
    <w:abstractNumId w:val="12"/>
  </w:num>
  <w:num w:numId="18" w16cid:durableId="284191857">
    <w:abstractNumId w:val="2"/>
  </w:num>
  <w:num w:numId="19" w16cid:durableId="401487208">
    <w:abstractNumId w:val="8"/>
  </w:num>
  <w:num w:numId="20" w16cid:durableId="1532840962">
    <w:abstractNumId w:val="32"/>
  </w:num>
  <w:num w:numId="21" w16cid:durableId="2037349397">
    <w:abstractNumId w:val="6"/>
  </w:num>
  <w:num w:numId="22" w16cid:durableId="1783374912">
    <w:abstractNumId w:val="20"/>
  </w:num>
  <w:num w:numId="23" w16cid:durableId="32459540">
    <w:abstractNumId w:val="15"/>
  </w:num>
  <w:num w:numId="24" w16cid:durableId="1333534701">
    <w:abstractNumId w:val="36"/>
  </w:num>
  <w:num w:numId="25" w16cid:durableId="582495249">
    <w:abstractNumId w:val="3"/>
  </w:num>
  <w:num w:numId="26" w16cid:durableId="1094205401">
    <w:abstractNumId w:val="7"/>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8"/>
  </w:num>
  <w:num w:numId="32" w16cid:durableId="953901140">
    <w:abstractNumId w:val="18"/>
  </w:num>
  <w:num w:numId="33" w16cid:durableId="84957327">
    <w:abstractNumId w:val="18"/>
  </w:num>
  <w:num w:numId="34" w16cid:durableId="874000490">
    <w:abstractNumId w:val="5"/>
  </w:num>
  <w:num w:numId="35" w16cid:durableId="52344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31"/>
  </w:num>
  <w:num w:numId="40" w16cid:durableId="163130355">
    <w:abstractNumId w:val="31"/>
  </w:num>
  <w:num w:numId="41" w16cid:durableId="1750887054">
    <w:abstractNumId w:val="36"/>
  </w:num>
  <w:num w:numId="42" w16cid:durableId="1525482819">
    <w:abstractNumId w:val="3"/>
  </w:num>
  <w:num w:numId="43" w16cid:durableId="756436547">
    <w:abstractNumId w:val="27"/>
  </w:num>
  <w:num w:numId="44" w16cid:durableId="1975060488">
    <w:abstractNumId w:val="13"/>
  </w:num>
  <w:num w:numId="45" w16cid:durableId="39209876">
    <w:abstractNumId w:val="28"/>
  </w:num>
  <w:num w:numId="46" w16cid:durableId="436143713">
    <w:abstractNumId w:val="27"/>
  </w:num>
  <w:num w:numId="47" w16cid:durableId="1457916823">
    <w:abstractNumId w:val="21"/>
  </w:num>
  <w:num w:numId="48" w16cid:durableId="96609101">
    <w:abstractNumId w:val="30"/>
  </w:num>
  <w:num w:numId="49" w16cid:durableId="2057314894">
    <w:abstractNumId w:val="26"/>
  </w:num>
  <w:num w:numId="50" w16cid:durableId="703673180">
    <w:abstractNumId w:val="10"/>
  </w:num>
  <w:num w:numId="51" w16cid:durableId="929657187">
    <w:abstractNumId w:val="26"/>
  </w:num>
  <w:num w:numId="52" w16cid:durableId="1670907776">
    <w:abstractNumId w:val="29"/>
  </w:num>
  <w:num w:numId="53" w16cid:durableId="1640649987">
    <w:abstractNumId w:val="29"/>
  </w:num>
  <w:num w:numId="54" w16cid:durableId="36858391">
    <w:abstractNumId w:val="27"/>
  </w:num>
  <w:num w:numId="55" w16cid:durableId="1312637761">
    <w:abstractNumId w:val="16"/>
  </w:num>
  <w:num w:numId="56" w16cid:durableId="1724281916">
    <w:abstractNumId w:val="22"/>
  </w:num>
  <w:num w:numId="57" w16cid:durableId="702176501">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5846"/>
    <w:rsid w:val="00006032"/>
    <w:rsid w:val="00006C3B"/>
    <w:rsid w:val="00006C91"/>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1D6F"/>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AA9"/>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41D"/>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22"/>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8BC"/>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8D1"/>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C2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CF3"/>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4C14"/>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2E"/>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345"/>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1D54"/>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555"/>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559"/>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8BB"/>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0C"/>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424A"/>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5ED"/>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7DC"/>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BCC"/>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2C26"/>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3FE1"/>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67E"/>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BBC"/>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40"/>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115"/>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9D3"/>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6E1C"/>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46C"/>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7D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300B"/>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0CB"/>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966"/>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8C"/>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337"/>
    <w:rsid w:val="009E45B0"/>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E33"/>
    <w:rsid w:val="00A27431"/>
    <w:rsid w:val="00A2751A"/>
    <w:rsid w:val="00A27534"/>
    <w:rsid w:val="00A305AE"/>
    <w:rsid w:val="00A312C7"/>
    <w:rsid w:val="00A31586"/>
    <w:rsid w:val="00A31703"/>
    <w:rsid w:val="00A31F02"/>
    <w:rsid w:val="00A31FFD"/>
    <w:rsid w:val="00A329A5"/>
    <w:rsid w:val="00A32B1A"/>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1F50"/>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52E0"/>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47D"/>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143"/>
    <w:rsid w:val="00B7329D"/>
    <w:rsid w:val="00B732BC"/>
    <w:rsid w:val="00B735C6"/>
    <w:rsid w:val="00B7384F"/>
    <w:rsid w:val="00B73ECD"/>
    <w:rsid w:val="00B7410C"/>
    <w:rsid w:val="00B74283"/>
    <w:rsid w:val="00B747D8"/>
    <w:rsid w:val="00B75345"/>
    <w:rsid w:val="00B75750"/>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753"/>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B90"/>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20F"/>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AB8"/>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62A"/>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529"/>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BD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B99"/>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0AA"/>
    <w:rsid w:val="00DD42A8"/>
    <w:rsid w:val="00DD4763"/>
    <w:rsid w:val="00DD4DB4"/>
    <w:rsid w:val="00DD5309"/>
    <w:rsid w:val="00DD547B"/>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5A7A"/>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D7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77A"/>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E8B"/>
    <w:rsid w:val="00E652CB"/>
    <w:rsid w:val="00E655AE"/>
    <w:rsid w:val="00E655FA"/>
    <w:rsid w:val="00E65DE4"/>
    <w:rsid w:val="00E66AB0"/>
    <w:rsid w:val="00E677AA"/>
    <w:rsid w:val="00E67AD6"/>
    <w:rsid w:val="00E67C8A"/>
    <w:rsid w:val="00E67D3C"/>
    <w:rsid w:val="00E70BE5"/>
    <w:rsid w:val="00E70E66"/>
    <w:rsid w:val="00E712B6"/>
    <w:rsid w:val="00E717E9"/>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A73"/>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82B"/>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E7B37"/>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D12"/>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1FF"/>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21AC"/>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EAF"/>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BDF"/>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61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BD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6802323">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51858118">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3113364">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8932740">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299576570">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557684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2952501">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68920279">
      <w:bodyDiv w:val="1"/>
      <w:marLeft w:val="0"/>
      <w:marRight w:val="0"/>
      <w:marTop w:val="0"/>
      <w:marBottom w:val="0"/>
      <w:divBdr>
        <w:top w:val="none" w:sz="0" w:space="0" w:color="auto"/>
        <w:left w:val="none" w:sz="0" w:space="0" w:color="auto"/>
        <w:bottom w:val="none" w:sz="0" w:space="0" w:color="auto"/>
        <w:right w:val="none" w:sz="0" w:space="0" w:color="auto"/>
      </w:divBdr>
    </w:div>
    <w:div w:id="374813940">
      <w:bodyDiv w:val="1"/>
      <w:marLeft w:val="0"/>
      <w:marRight w:val="0"/>
      <w:marTop w:val="0"/>
      <w:marBottom w:val="0"/>
      <w:divBdr>
        <w:top w:val="none" w:sz="0" w:space="0" w:color="auto"/>
        <w:left w:val="none" w:sz="0" w:space="0" w:color="auto"/>
        <w:bottom w:val="none" w:sz="0" w:space="0" w:color="auto"/>
        <w:right w:val="none" w:sz="0" w:space="0" w:color="auto"/>
      </w:divBdr>
    </w:div>
    <w:div w:id="378476974">
      <w:bodyDiv w:val="1"/>
      <w:marLeft w:val="0"/>
      <w:marRight w:val="0"/>
      <w:marTop w:val="0"/>
      <w:marBottom w:val="0"/>
      <w:divBdr>
        <w:top w:val="none" w:sz="0" w:space="0" w:color="auto"/>
        <w:left w:val="none" w:sz="0" w:space="0" w:color="auto"/>
        <w:bottom w:val="none" w:sz="0" w:space="0" w:color="auto"/>
        <w:right w:val="none" w:sz="0" w:space="0" w:color="auto"/>
      </w:divBdr>
    </w:div>
    <w:div w:id="381902724">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398213777">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18550269">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213373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43384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4119332">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969787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182552">
      <w:bodyDiv w:val="1"/>
      <w:marLeft w:val="0"/>
      <w:marRight w:val="0"/>
      <w:marTop w:val="0"/>
      <w:marBottom w:val="0"/>
      <w:divBdr>
        <w:top w:val="none" w:sz="0" w:space="0" w:color="auto"/>
        <w:left w:val="none" w:sz="0" w:space="0" w:color="auto"/>
        <w:bottom w:val="none" w:sz="0" w:space="0" w:color="auto"/>
        <w:right w:val="none" w:sz="0" w:space="0" w:color="auto"/>
      </w:divBdr>
    </w:div>
    <w:div w:id="689571014">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224341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81416415">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53960990">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78199863">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899287338">
      <w:bodyDiv w:val="1"/>
      <w:marLeft w:val="0"/>
      <w:marRight w:val="0"/>
      <w:marTop w:val="0"/>
      <w:marBottom w:val="0"/>
      <w:divBdr>
        <w:top w:val="none" w:sz="0" w:space="0" w:color="auto"/>
        <w:left w:val="none" w:sz="0" w:space="0" w:color="auto"/>
        <w:bottom w:val="none" w:sz="0" w:space="0" w:color="auto"/>
        <w:right w:val="none" w:sz="0" w:space="0" w:color="auto"/>
      </w:divBdr>
    </w:div>
    <w:div w:id="901939103">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407932">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69240959">
      <w:bodyDiv w:val="1"/>
      <w:marLeft w:val="0"/>
      <w:marRight w:val="0"/>
      <w:marTop w:val="0"/>
      <w:marBottom w:val="0"/>
      <w:divBdr>
        <w:top w:val="none" w:sz="0" w:space="0" w:color="auto"/>
        <w:left w:val="none" w:sz="0" w:space="0" w:color="auto"/>
        <w:bottom w:val="none" w:sz="0" w:space="0" w:color="auto"/>
        <w:right w:val="none" w:sz="0" w:space="0" w:color="auto"/>
      </w:divBdr>
    </w:div>
    <w:div w:id="979189366">
      <w:bodyDiv w:val="1"/>
      <w:marLeft w:val="0"/>
      <w:marRight w:val="0"/>
      <w:marTop w:val="0"/>
      <w:marBottom w:val="0"/>
      <w:divBdr>
        <w:top w:val="none" w:sz="0" w:space="0" w:color="auto"/>
        <w:left w:val="none" w:sz="0" w:space="0" w:color="auto"/>
        <w:bottom w:val="none" w:sz="0" w:space="0" w:color="auto"/>
        <w:right w:val="none" w:sz="0" w:space="0" w:color="auto"/>
      </w:divBdr>
    </w:div>
    <w:div w:id="97945472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8748197">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6007239">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47904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79670350">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607109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79269648">
      <w:bodyDiv w:val="1"/>
      <w:marLeft w:val="0"/>
      <w:marRight w:val="0"/>
      <w:marTop w:val="0"/>
      <w:marBottom w:val="0"/>
      <w:divBdr>
        <w:top w:val="none" w:sz="0" w:space="0" w:color="auto"/>
        <w:left w:val="none" w:sz="0" w:space="0" w:color="auto"/>
        <w:bottom w:val="none" w:sz="0" w:space="0" w:color="auto"/>
        <w:right w:val="none" w:sz="0" w:space="0" w:color="auto"/>
      </w:divBdr>
    </w:div>
    <w:div w:id="1186359514">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02404789">
      <w:bodyDiv w:val="1"/>
      <w:marLeft w:val="0"/>
      <w:marRight w:val="0"/>
      <w:marTop w:val="0"/>
      <w:marBottom w:val="0"/>
      <w:divBdr>
        <w:top w:val="none" w:sz="0" w:space="0" w:color="auto"/>
        <w:left w:val="none" w:sz="0" w:space="0" w:color="auto"/>
        <w:bottom w:val="none" w:sz="0" w:space="0" w:color="auto"/>
        <w:right w:val="none" w:sz="0" w:space="0" w:color="auto"/>
      </w:divBdr>
    </w:div>
    <w:div w:id="1219047574">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514742">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9914555">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852831">
      <w:bodyDiv w:val="1"/>
      <w:marLeft w:val="0"/>
      <w:marRight w:val="0"/>
      <w:marTop w:val="0"/>
      <w:marBottom w:val="0"/>
      <w:divBdr>
        <w:top w:val="none" w:sz="0" w:space="0" w:color="auto"/>
        <w:left w:val="none" w:sz="0" w:space="0" w:color="auto"/>
        <w:bottom w:val="none" w:sz="0" w:space="0" w:color="auto"/>
        <w:right w:val="none" w:sz="0" w:space="0" w:color="auto"/>
      </w:divBdr>
    </w:div>
    <w:div w:id="130832258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2294433">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1417282">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4476497">
      <w:bodyDiv w:val="1"/>
      <w:marLeft w:val="0"/>
      <w:marRight w:val="0"/>
      <w:marTop w:val="0"/>
      <w:marBottom w:val="0"/>
      <w:divBdr>
        <w:top w:val="none" w:sz="0" w:space="0" w:color="auto"/>
        <w:left w:val="none" w:sz="0" w:space="0" w:color="auto"/>
        <w:bottom w:val="none" w:sz="0" w:space="0" w:color="auto"/>
        <w:right w:val="none" w:sz="0" w:space="0" w:color="auto"/>
      </w:divBdr>
    </w:div>
    <w:div w:id="1414819704">
      <w:bodyDiv w:val="1"/>
      <w:marLeft w:val="0"/>
      <w:marRight w:val="0"/>
      <w:marTop w:val="0"/>
      <w:marBottom w:val="0"/>
      <w:divBdr>
        <w:top w:val="none" w:sz="0" w:space="0" w:color="auto"/>
        <w:left w:val="none" w:sz="0" w:space="0" w:color="auto"/>
        <w:bottom w:val="none" w:sz="0" w:space="0" w:color="auto"/>
        <w:right w:val="none" w:sz="0" w:space="0" w:color="auto"/>
      </w:divBdr>
    </w:div>
    <w:div w:id="1423184158">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9544128">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3149582">
      <w:bodyDiv w:val="1"/>
      <w:marLeft w:val="0"/>
      <w:marRight w:val="0"/>
      <w:marTop w:val="0"/>
      <w:marBottom w:val="0"/>
      <w:divBdr>
        <w:top w:val="none" w:sz="0" w:space="0" w:color="auto"/>
        <w:left w:val="none" w:sz="0" w:space="0" w:color="auto"/>
        <w:bottom w:val="none" w:sz="0" w:space="0" w:color="auto"/>
        <w:right w:val="none" w:sz="0" w:space="0" w:color="auto"/>
      </w:divBdr>
    </w:div>
    <w:div w:id="1609971852">
      <w:bodyDiv w:val="1"/>
      <w:marLeft w:val="0"/>
      <w:marRight w:val="0"/>
      <w:marTop w:val="0"/>
      <w:marBottom w:val="0"/>
      <w:divBdr>
        <w:top w:val="none" w:sz="0" w:space="0" w:color="auto"/>
        <w:left w:val="none" w:sz="0" w:space="0" w:color="auto"/>
        <w:bottom w:val="none" w:sz="0" w:space="0" w:color="auto"/>
        <w:right w:val="none" w:sz="0" w:space="0" w:color="auto"/>
      </w:divBdr>
    </w:div>
    <w:div w:id="1613317116">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4751455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632729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8998571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4306616">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3166832">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8307728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513773">
      <w:bodyDiv w:val="1"/>
      <w:marLeft w:val="0"/>
      <w:marRight w:val="0"/>
      <w:marTop w:val="0"/>
      <w:marBottom w:val="0"/>
      <w:divBdr>
        <w:top w:val="none" w:sz="0" w:space="0" w:color="auto"/>
        <w:left w:val="none" w:sz="0" w:space="0" w:color="auto"/>
        <w:bottom w:val="none" w:sz="0" w:space="0" w:color="auto"/>
        <w:right w:val="none" w:sz="0" w:space="0" w:color="auto"/>
      </w:divBdr>
    </w:div>
    <w:div w:id="2013140686">
      <w:bodyDiv w:val="1"/>
      <w:marLeft w:val="0"/>
      <w:marRight w:val="0"/>
      <w:marTop w:val="0"/>
      <w:marBottom w:val="0"/>
      <w:divBdr>
        <w:top w:val="none" w:sz="0" w:space="0" w:color="auto"/>
        <w:left w:val="none" w:sz="0" w:space="0" w:color="auto"/>
        <w:bottom w:val="none" w:sz="0" w:space="0" w:color="auto"/>
        <w:right w:val="none" w:sz="0" w:space="0" w:color="auto"/>
      </w:divBdr>
    </w:div>
    <w:div w:id="2014140410">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1589396">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094350105">
      <w:bodyDiv w:val="1"/>
      <w:marLeft w:val="0"/>
      <w:marRight w:val="0"/>
      <w:marTop w:val="0"/>
      <w:marBottom w:val="0"/>
      <w:divBdr>
        <w:top w:val="none" w:sz="0" w:space="0" w:color="auto"/>
        <w:left w:val="none" w:sz="0" w:space="0" w:color="auto"/>
        <w:bottom w:val="none" w:sz="0" w:space="0" w:color="auto"/>
        <w:right w:val="none" w:sz="0" w:space="0" w:color="auto"/>
      </w:divBdr>
    </w:div>
    <w:div w:id="2101368054">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2025-10-03T16:58:00Z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